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F70ABF" w:rsidP="005D17CC" w:rsidRDefault="005A7E12" w14:paraId="5D7A6B5D" w14:textId="0D314D61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EC94B" wp14:editId="6FD3034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92240" cy="0"/>
                <wp:effectExtent l="0" t="0" r="0" b="0"/>
                <wp:wrapNone/>
                <wp:docPr id="511353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C81E1CB">
  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0,0" to="511.2pt,0" w14:anchorId="1E661E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"/>
            </w:pict>
          </mc:Fallback>
        </mc:AlternateContent>
      </w:r>
    </w:p>
    <w:p w:rsidRPr="00AC0E0E" w:rsidR="005A7E12" w:rsidP="005A7E12" w:rsidRDefault="000B531D" w14:paraId="2D4BC1EF" w14:textId="1E9667DA">
      <w:pPr>
        <w:widowControl/>
        <w:jc w:val="right"/>
        <w:rPr>
          <w:b/>
          <w:bCs/>
        </w:rPr>
      </w:pPr>
      <w:r>
        <w:rPr>
          <w:b/>
          <w:color w:val="0D0D0D"/>
        </w:rPr>
        <w:t>September</w:t>
      </w:r>
      <w:r w:rsidR="001303A1">
        <w:rPr>
          <w:b/>
          <w:color w:val="0D0D0D"/>
        </w:rPr>
        <w:t xml:space="preserve"> 2026</w:t>
      </w:r>
    </w:p>
    <w:p w:rsidRPr="000B531D" w:rsidR="009270E6" w:rsidP="000B531D" w:rsidRDefault="005A7E12" w14:paraId="35CB9DBF" w14:textId="39DC8BA6">
      <w:pPr>
        <w:pStyle w:val="Heading1"/>
        <w:rPr>
          <w:rFonts w:ascii="Calibri" w:hAnsi="Calibri" w:cs="Calibri"/>
          <w:color w:val="0D0D0D" w:themeColor="text1" w:themeTint="F2"/>
        </w:rPr>
      </w:pPr>
      <w:r w:rsidRPr="000B531D">
        <w:rPr>
          <w:color w:val="0D0D0D" w:themeColor="text1" w:themeTint="F2"/>
        </w:rPr>
        <w:t>ICBA Regulatory Update: Payment Stablecoins and Digital Assets</w:t>
      </w:r>
    </w:p>
    <w:p w:rsidRPr="000B531D" w:rsidR="00900402" w:rsidRDefault="00355C00" w14:paraId="319FFFE5" w14:textId="77777777">
      <w:pPr>
        <w:widowControl/>
        <w:spacing w:after="60"/>
      </w:pPr>
      <w:r w:rsidRPr="000B531D">
        <w:rPr>
          <w:b/>
          <w:color w:val="0D0D0D"/>
        </w:rPr>
        <w:t xml:space="preserve">Topic/Issue: </w:t>
      </w:r>
      <w:r w:rsidRPr="000B531D">
        <w:rPr>
          <w:color w:val="0D0D0D"/>
        </w:rPr>
        <w:t>GENIUS Act Requirements and Standards for FDIC-Supervised Permitted Payment Stablecoin Issuers and Insured Depository Institutions</w:t>
      </w:r>
    </w:p>
    <w:p w:rsidRPr="000B531D" w:rsidR="000B531D" w:rsidRDefault="000B531D" w14:paraId="24F9782D" w14:textId="77777777">
      <w:pPr>
        <w:widowControl/>
        <w:spacing w:after="60"/>
        <w:rPr>
          <w:b/>
          <w:color w:val="0D0D0D"/>
        </w:rPr>
      </w:pPr>
    </w:p>
    <w:p w:rsidRPr="000B531D" w:rsidR="00900402" w:rsidRDefault="00355C00" w14:paraId="7ECA77D5" w14:textId="7CECD6CD">
      <w:pPr>
        <w:widowControl/>
        <w:spacing w:after="60"/>
      </w:pPr>
      <w:r w:rsidRPr="000B531D">
        <w:rPr>
          <w:b/>
          <w:color w:val="0D0D0D"/>
        </w:rPr>
        <w:t xml:space="preserve">Agency: </w:t>
      </w:r>
      <w:r w:rsidRPr="000B531D">
        <w:rPr>
          <w:color w:val="0D0D0D"/>
        </w:rPr>
        <w:t>Federal Deposit Insurance Corporation</w:t>
      </w:r>
    </w:p>
    <w:p w:rsidRPr="000B531D" w:rsidR="000B531D" w:rsidRDefault="000B531D" w14:paraId="13E69965" w14:textId="77777777">
      <w:pPr>
        <w:widowControl/>
        <w:spacing w:before="40" w:after="60"/>
        <w:rPr>
          <w:b/>
          <w:color w:val="0D0D0D"/>
        </w:rPr>
      </w:pPr>
    </w:p>
    <w:p w:rsidRPr="000B531D" w:rsidR="00900402" w:rsidRDefault="00355C00" w14:paraId="27CA3F56" w14:textId="11841A03">
      <w:pPr>
        <w:widowControl/>
        <w:spacing w:before="40" w:after="60"/>
      </w:pPr>
      <w:r w:rsidRPr="000B531D">
        <w:rPr>
          <w:b/>
          <w:color w:val="0D0D0D"/>
        </w:rPr>
        <w:t xml:space="preserve">Status: </w:t>
      </w:r>
      <w:r w:rsidRPr="000B531D">
        <w:rPr>
          <w:color w:val="0D0D0D"/>
        </w:rPr>
        <w:t>ICBA submitted comments on June 9, 2026, urging the FDIC to implement the GENIUS Act in a manner that protects community bank funding, lending capacity, the Deposit Insurance Fund, and the competitive balance of the banking system.</w:t>
      </w:r>
    </w:p>
    <w:p w:rsidRPr="000B531D" w:rsidR="00900402" w:rsidRDefault="00355C00" w14:paraId="071CDAAE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 xml:space="preserve">•  Provide an additional opportunity for public comment after the OCC completes its related rulemaking and </w:t>
      </w:r>
      <w:proofErr w:type="gramStart"/>
      <w:r w:rsidRPr="000B531D">
        <w:rPr>
          <w:rFonts w:ascii="Arial" w:hAnsi="Arial"/>
          <w:color w:val="0D0D0D"/>
        </w:rPr>
        <w:t>coordinate</w:t>
      </w:r>
      <w:proofErr w:type="gramEnd"/>
      <w:r w:rsidRPr="000B531D">
        <w:rPr>
          <w:rFonts w:ascii="Arial" w:hAnsi="Arial"/>
          <w:color w:val="0D0D0D"/>
        </w:rPr>
        <w:t xml:space="preserve"> closely with other federal regulators.</w:t>
      </w:r>
    </w:p>
    <w:p w:rsidRPr="000B531D" w:rsidR="00900402" w:rsidRDefault="00355C00" w14:paraId="190FEC54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Adopt strict definitions, anti-evasion protections, capital requirements, risk-management standards, and limits on PPSI activities, including a strong prohibition on yield and yield-equivalent rewards.</w:t>
      </w:r>
    </w:p>
    <w:p w:rsidRPr="000B531D" w:rsidR="00900402" w:rsidRDefault="00355C00" w14:paraId="59D36C7F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Confirm that payment stablecoin reserve deposits are not eligible for pass-through deposit insurance and prevent the bank-funded Deposit Insurance Fund from subsidizing stablecoin activity.</w:t>
      </w:r>
    </w:p>
    <w:p w:rsidRPr="000B531D" w:rsidR="00900402" w:rsidRDefault="00355C00" w14:paraId="5FFED124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Address tokenized deposits through a coordinated, technology-neutral process that supports community bank participation, consortium and third-party models, and a deliberate pilot framework.</w:t>
      </w:r>
    </w:p>
    <w:p w:rsidRPr="000B531D" w:rsidR="00900402" w:rsidRDefault="174B963B" w14:paraId="4CE48DDA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 w:themeColor="text1" w:themeTint="F2"/>
        </w:rPr>
        <w:t>•  Recognize and mitigate the risk that stablecoin-driven deposit migration could reduce community bank lending and concentrate credit intermediation in larger institutions.</w:t>
      </w:r>
    </w:p>
    <w:p w:rsidRPr="000B531D" w:rsidR="174B963B" w:rsidP="174B963B" w:rsidRDefault="174B963B" w14:paraId="67C0A3D2" w14:textId="25EEF779">
      <w:pPr>
        <w:widowControl/>
        <w:spacing w:after="60"/>
        <w:rPr>
          <w:b/>
          <w:bCs/>
          <w:color w:val="0D0D0D" w:themeColor="text1" w:themeTint="F2"/>
        </w:rPr>
      </w:pPr>
    </w:p>
    <w:p w:rsidRPr="000B531D" w:rsidR="00900402" w:rsidRDefault="00355C00" w14:paraId="2D343EE7" w14:textId="77777777">
      <w:pPr>
        <w:widowControl/>
        <w:spacing w:after="60"/>
      </w:pPr>
      <w:r w:rsidRPr="000B531D">
        <w:rPr>
          <w:b/>
          <w:color w:val="0D0D0D"/>
        </w:rPr>
        <w:t xml:space="preserve">Topic/Issue: </w:t>
      </w:r>
      <w:r w:rsidRPr="000B531D">
        <w:rPr>
          <w:color w:val="0D0D0D"/>
        </w:rPr>
        <w:t>Customer Identification Program Requirements for Permitted Payment Stablecoin Issuers</w:t>
      </w:r>
    </w:p>
    <w:p w:rsidRPr="000B531D" w:rsidR="000B531D" w:rsidRDefault="000B531D" w14:paraId="1ABAF085" w14:textId="77777777">
      <w:pPr>
        <w:widowControl/>
        <w:spacing w:after="60"/>
        <w:rPr>
          <w:b/>
          <w:color w:val="0D0D0D"/>
        </w:rPr>
      </w:pPr>
    </w:p>
    <w:p w:rsidRPr="000B531D" w:rsidR="00900402" w:rsidRDefault="00355C00" w14:paraId="4C2DBB67" w14:textId="109762EE">
      <w:pPr>
        <w:widowControl/>
        <w:spacing w:after="60"/>
      </w:pPr>
      <w:r w:rsidRPr="000B531D">
        <w:rPr>
          <w:b/>
          <w:color w:val="0D0D0D"/>
        </w:rPr>
        <w:t xml:space="preserve">Agency: </w:t>
      </w:r>
      <w:r w:rsidRPr="000B531D">
        <w:rPr>
          <w:color w:val="0D0D0D"/>
        </w:rPr>
        <w:t>Financial Crimes Enforcement Network, Office of the Comptroller of the Currency, Federal Reserve Board, Federal Deposit Insurance Corporation, and National Credit Union Administration</w:t>
      </w:r>
    </w:p>
    <w:p w:rsidRPr="000B531D" w:rsidR="000B531D" w:rsidRDefault="000B531D" w14:paraId="62827522" w14:textId="77777777">
      <w:pPr>
        <w:widowControl/>
        <w:spacing w:before="40" w:after="60"/>
        <w:rPr>
          <w:b/>
          <w:color w:val="0D0D0D"/>
        </w:rPr>
      </w:pPr>
    </w:p>
    <w:p w:rsidRPr="000B531D" w:rsidR="00900402" w:rsidRDefault="00355C00" w14:paraId="6F48A6B1" w14:textId="10A9F0AA">
      <w:pPr>
        <w:widowControl/>
        <w:spacing w:before="40" w:after="60"/>
      </w:pPr>
      <w:r w:rsidRPr="000B531D">
        <w:rPr>
          <w:b/>
          <w:color w:val="0D0D0D"/>
        </w:rPr>
        <w:t xml:space="preserve">Status: </w:t>
      </w:r>
      <w:r w:rsidRPr="000B531D">
        <w:rPr>
          <w:color w:val="0D0D0D"/>
        </w:rPr>
        <w:t>ICBA submitted comments in August 2026 supporting a uniform, enforceable customer identification framework for permitted payment stablecoin issuers that is at least as rigorous as the framework applicable to community banks and enhanced where necessary to address stablecoin-specific risks.</w:t>
      </w:r>
    </w:p>
    <w:p w:rsidRPr="000B531D" w:rsidR="00900402" w:rsidRDefault="00355C00" w14:paraId="5519CF3D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Require PPSIs to collect and verify complete customer information before enabling account functionality, rather than allowing transactions while verification remains pending.</w:t>
      </w:r>
    </w:p>
    <w:p w:rsidRPr="000B531D" w:rsidR="00900402" w:rsidRDefault="00355C00" w14:paraId="1145C123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Avoid a broad exclusion for secondary-market activity that would leave stablecoin transfers through exchanges, unhosted wallets, intermediaries, or decentralized protocols outside meaningful customer-identification safeguards.</w:t>
      </w:r>
    </w:p>
    <w:p w:rsidRPr="000B531D" w:rsidR="00900402" w:rsidRDefault="00355C00" w14:paraId="69BD7FFC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t>•  Require bank-grade documentary and non-documentary verification, durable and examiner-accessible records, validated systems, and stablecoin-specific controls, including appropriate blockchain analytics.</w:t>
      </w:r>
    </w:p>
    <w:p w:rsidRPr="000B531D" w:rsidR="00900402" w:rsidRDefault="00355C00" w14:paraId="2CA7BA69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/>
        </w:rPr>
        <w:lastRenderedPageBreak/>
        <w:t>•  Keep responsibility with the PPSI when vendors, intermediaries, or other financial institutions support CIP functions; community banks should not inherit issuer-level compliance obligations.</w:t>
      </w:r>
    </w:p>
    <w:p w:rsidRPr="000B531D" w:rsidR="00900402" w:rsidRDefault="174B963B" w14:paraId="62596BAA" w14:textId="77777777">
      <w:pPr>
        <w:pStyle w:val="ListParagraph"/>
        <w:widowControl/>
        <w:spacing w:after="40"/>
        <w:ind w:left="360" w:hanging="180"/>
      </w:pPr>
      <w:r w:rsidRPr="000B531D">
        <w:rPr>
          <w:rFonts w:ascii="Arial" w:hAnsi="Arial"/>
          <w:color w:val="0D0D0D" w:themeColor="text1" w:themeTint="F2"/>
        </w:rPr>
        <w:t>•  Reject exemptions that would permit PPSIs or account categories to operate under weaker CIP standards and require structured supervisory review and testing before implementation.</w:t>
      </w:r>
    </w:p>
    <w:p w:rsidRPr="000B531D" w:rsidR="174B963B" w:rsidP="174B963B" w:rsidRDefault="174B963B" w14:paraId="77F8A3AF" w14:textId="1EBB3F5A">
      <w:pPr>
        <w:widowControl/>
        <w:spacing w:before="40"/>
        <w:rPr>
          <w:b/>
          <w:bCs/>
          <w:color w:val="0D0D0D" w:themeColor="text1" w:themeTint="F2"/>
        </w:rPr>
      </w:pPr>
    </w:p>
    <w:p w:rsidR="00900402" w:rsidRDefault="00355C00" w14:paraId="62D8C502" w14:textId="77777777">
      <w:pPr>
        <w:widowControl/>
        <w:spacing w:before="40"/>
      </w:pPr>
      <w:r w:rsidRPr="000B531D">
        <w:rPr>
          <w:b/>
          <w:color w:val="0D0D0D"/>
        </w:rPr>
        <w:t xml:space="preserve">ICBA Outlook: </w:t>
      </w:r>
      <w:r w:rsidRPr="000B531D">
        <w:rPr>
          <w:color w:val="0D0D0D"/>
        </w:rPr>
        <w:t>ICBA will continue advocating for regulatory parity, clear issuer accountability, strong protections against illicit finance and regulatory arbitrage, and implementation choices that preserve community bank deposits</w:t>
      </w:r>
      <w:r>
        <w:rPr>
          <w:color w:val="0D0D0D"/>
          <w:sz w:val="20"/>
        </w:rPr>
        <w:t xml:space="preserve"> and local lending.</w:t>
      </w:r>
    </w:p>
    <w:sectPr w:rsidR="00900402" w:rsidSect="00F70A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orient="portrait"/>
      <w:pgMar w:top="720" w:right="1000" w:bottom="720" w:left="1000" w:header="720" w:footer="720" w:gutter="0"/>
      <w:pgNumType w:start="1"/>
      <w:cols w:space="461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1F11" w:rsidP="00F04057" w:rsidRDefault="004C1F11" w14:paraId="3FE6C950" w14:textId="77777777">
      <w:r>
        <w:separator/>
      </w:r>
    </w:p>
    <w:p w:rsidR="004C1F11" w:rsidRDefault="004C1F11" w14:paraId="13C5DFCD" w14:textId="77777777"/>
  </w:endnote>
  <w:endnote w:type="continuationSeparator" w:id="0">
    <w:p w:rsidR="004C1F11" w:rsidP="00F04057" w:rsidRDefault="004C1F11" w14:paraId="6A2E428F" w14:textId="77777777">
      <w:r>
        <w:continuationSeparator/>
      </w:r>
    </w:p>
    <w:p w:rsidR="004C1F11" w:rsidRDefault="004C1F11" w14:paraId="0BBC49A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28007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4747E" w:rsidP="00D570F4" w:rsidRDefault="0074747E" w14:paraId="7EE25961" w14:textId="77777777">
        <w:pPr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6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7889249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74747E" w:rsidP="0074747E" w:rsidRDefault="0074747E" w14:paraId="4C8BEA81" w14:textId="77777777">
        <w:pPr>
          <w:framePr w:wrap="none" w:hAnchor="margin" w:vAnchor="text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6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74747E" w:rsidP="0074747E" w:rsidRDefault="0074747E" w14:paraId="2EB031E7" w14:textId="77777777">
    <w:pPr>
      <w:ind w:right="360"/>
    </w:pPr>
  </w:p>
  <w:p w:rsidR="00E66AAE" w:rsidRDefault="00E66AAE" w14:paraId="387738F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46CAE" w:rsidR="00F04057" w:rsidP="00546CAE" w:rsidRDefault="00546CAE" w14:paraId="2ECBD25D" w14:textId="77777777">
    <w:pPr>
      <w:pStyle w:val="Footer"/>
    </w:pPr>
    <w:r>
      <w:rPr>
        <w:noProof/>
      </w:rPr>
      <w:drawing>
        <wp:inline distT="0" distB="0" distL="0" distR="0" wp14:anchorId="4B3A90A2" wp14:editId="20CB7856">
          <wp:extent cx="6400800" cy="853440"/>
          <wp:effectExtent l="0" t="0" r="0" b="0"/>
          <wp:docPr id="1922629712" name="Picture 1922629712" descr="ICBA contact information footer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9957274" name="Picture 3" descr="ICBA contact information footer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417DA" w:rsidR="00CD0AA8" w:rsidP="00546CAE" w:rsidRDefault="00E55A77" w14:paraId="6C6686F0" w14:textId="6BF949E2">
    <w:pPr>
      <w:pStyle w:val="BasicParagraph"/>
      <w:tabs>
        <w:tab w:val="left" w:pos="720"/>
        <w:tab w:val="left" w:pos="1440"/>
        <w:tab w:val="left" w:pos="2160"/>
        <w:tab w:val="left" w:pos="2880"/>
        <w:tab w:val="left" w:pos="3600"/>
        <w:tab w:val="right" w:pos="8812"/>
      </w:tabs>
      <w:rPr>
        <w:rFonts w:ascii="Arial" w:hAnsi="Arial" w:cs="Arial"/>
        <w:color w:val="000000" w:themeColor="text1"/>
        <w:sz w:val="16"/>
        <w:szCs w:val="16"/>
      </w:rPr>
    </w:pPr>
    <w:r>
      <w:rPr>
        <w:rFonts w:ascii="Arial" w:hAnsi="Arial" w:cs="Arial"/>
        <w:noProof/>
        <w:color w:val="000000" w:themeColor="text1"/>
        <w:sz w:val="16"/>
        <w:szCs w:val="16"/>
      </w:rPr>
      <w:drawing>
        <wp:inline distT="0" distB="0" distL="0" distR="0" wp14:anchorId="559450DF" wp14:editId="6A2270DD">
          <wp:extent cx="6400800" cy="853440"/>
          <wp:effectExtent l="0" t="0" r="0" b="0"/>
          <wp:docPr id="24206824" name="Picture 24206824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06824" name="Picture 24206824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853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1F11" w:rsidP="00F04057" w:rsidRDefault="004C1F11" w14:paraId="7D20FC72" w14:textId="77777777">
      <w:r>
        <w:separator/>
      </w:r>
    </w:p>
    <w:p w:rsidR="004C1F11" w:rsidRDefault="004C1F11" w14:paraId="7581ABA7" w14:textId="77777777"/>
  </w:footnote>
  <w:footnote w:type="continuationSeparator" w:id="0">
    <w:p w:rsidR="004C1F11" w:rsidP="00F04057" w:rsidRDefault="004C1F11" w14:paraId="30AE6539" w14:textId="77777777">
      <w:r>
        <w:continuationSeparator/>
      </w:r>
    </w:p>
    <w:p w:rsidR="004C1F11" w:rsidRDefault="004C1F11" w14:paraId="2D6E189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109" w:rsidRDefault="00920109" w14:paraId="1DB8B21E" w14:textId="77777777">
    <w:pPr>
      <w:pStyle w:val="Header"/>
    </w:pPr>
  </w:p>
  <w:p w:rsidR="00E66AAE" w:rsidRDefault="00E66AAE" w14:paraId="5195EA6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20109" w:rsidRDefault="00920109" w14:paraId="6140CDCD" w14:textId="77777777">
    <w:pPr>
      <w:pStyle w:val="Header"/>
    </w:pPr>
  </w:p>
  <w:p w:rsidR="00E66AAE" w:rsidRDefault="00E66AAE" w14:paraId="0E241F6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D0AA8" w:rsidRDefault="00546CAE" w14:paraId="4EF96A26" w14:textId="77777777">
    <w:r>
      <w:rPr>
        <w:noProof/>
      </w:rPr>
      <w:drawing>
        <wp:inline distT="0" distB="0" distL="0" distR="0" wp14:anchorId="38D43AC8" wp14:editId="390AF97F">
          <wp:extent cx="4146550" cy="853440"/>
          <wp:effectExtent l="0" t="0" r="0" b="0"/>
          <wp:docPr id="795863665" name="Picture 795863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5863665" name="Picture 79586366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218"/>
                  <a:stretch/>
                </pic:blipFill>
                <pic:spPr bwMode="auto">
                  <a:xfrm>
                    <a:off x="0" y="0"/>
                    <a:ext cx="4146550" cy="853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FfE1VhHdqkfx7" int2:id="FsZzUPI3">
      <int2:state int2:value="Rejected" int2:type="AugLoop_Text_Critique"/>
    </int2:textHash>
    <int2:textHash int2:hashCode="7WBx0wtVHua6WG" int2:id="MpI6OslC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67CCF"/>
    <w:multiLevelType w:val="hybridMultilevel"/>
    <w:tmpl w:val="B7723D6E"/>
    <w:lvl w:ilvl="0" w:tplc="E9283FA2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A950E3A"/>
    <w:multiLevelType w:val="hybridMultilevel"/>
    <w:tmpl w:val="138C238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5C3405"/>
    <w:multiLevelType w:val="hybridMultilevel"/>
    <w:tmpl w:val="0DEEDB96"/>
    <w:lvl w:ilvl="0" w:tplc="C57A63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A023B1B"/>
    <w:multiLevelType w:val="hybridMultilevel"/>
    <w:tmpl w:val="343E7CF0"/>
    <w:lvl w:ilvl="0" w:tplc="6D6AEC82">
      <w:start w:val="1"/>
      <w:numFmt w:val="bullet"/>
      <w:pStyle w:val="BulletPoints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1167481">
    <w:abstractNumId w:val="1"/>
  </w:num>
  <w:num w:numId="2" w16cid:durableId="713506399">
    <w:abstractNumId w:val="2"/>
  </w:num>
  <w:num w:numId="3" w16cid:durableId="1403410460">
    <w:abstractNumId w:val="3"/>
  </w:num>
  <w:num w:numId="4" w16cid:durableId="124147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2B"/>
    <w:rsid w:val="00043E1F"/>
    <w:rsid w:val="00072094"/>
    <w:rsid w:val="0008171B"/>
    <w:rsid w:val="000A2968"/>
    <w:rsid w:val="000B531D"/>
    <w:rsid w:val="000D1FBB"/>
    <w:rsid w:val="001169F9"/>
    <w:rsid w:val="001303A1"/>
    <w:rsid w:val="0013270A"/>
    <w:rsid w:val="00137765"/>
    <w:rsid w:val="00145BC9"/>
    <w:rsid w:val="00156C6C"/>
    <w:rsid w:val="0016412B"/>
    <w:rsid w:val="001705D2"/>
    <w:rsid w:val="001A195C"/>
    <w:rsid w:val="001A21EF"/>
    <w:rsid w:val="001B1202"/>
    <w:rsid w:val="001F34CA"/>
    <w:rsid w:val="001F4928"/>
    <w:rsid w:val="00222561"/>
    <w:rsid w:val="00236556"/>
    <w:rsid w:val="002452AC"/>
    <w:rsid w:val="002E2CFF"/>
    <w:rsid w:val="00303BDB"/>
    <w:rsid w:val="00317F0F"/>
    <w:rsid w:val="00326FCE"/>
    <w:rsid w:val="00351CA4"/>
    <w:rsid w:val="00355C00"/>
    <w:rsid w:val="003D111B"/>
    <w:rsid w:val="004065D9"/>
    <w:rsid w:val="00413990"/>
    <w:rsid w:val="004213C6"/>
    <w:rsid w:val="0044593C"/>
    <w:rsid w:val="00447EF6"/>
    <w:rsid w:val="00457ADF"/>
    <w:rsid w:val="00467942"/>
    <w:rsid w:val="004711B7"/>
    <w:rsid w:val="00495058"/>
    <w:rsid w:val="00496577"/>
    <w:rsid w:val="004C1F11"/>
    <w:rsid w:val="004F50F7"/>
    <w:rsid w:val="00514325"/>
    <w:rsid w:val="00520999"/>
    <w:rsid w:val="00524A09"/>
    <w:rsid w:val="00546CAE"/>
    <w:rsid w:val="00547164"/>
    <w:rsid w:val="00585B22"/>
    <w:rsid w:val="005A5317"/>
    <w:rsid w:val="005A7E12"/>
    <w:rsid w:val="005C391A"/>
    <w:rsid w:val="005C7703"/>
    <w:rsid w:val="005D17CC"/>
    <w:rsid w:val="005E0150"/>
    <w:rsid w:val="005F6EBF"/>
    <w:rsid w:val="005F747E"/>
    <w:rsid w:val="00612DB7"/>
    <w:rsid w:val="00632C90"/>
    <w:rsid w:val="00657A60"/>
    <w:rsid w:val="00692401"/>
    <w:rsid w:val="006C7A3C"/>
    <w:rsid w:val="006D3E30"/>
    <w:rsid w:val="00724E77"/>
    <w:rsid w:val="00745086"/>
    <w:rsid w:val="00745462"/>
    <w:rsid w:val="0074747E"/>
    <w:rsid w:val="0076375D"/>
    <w:rsid w:val="00782272"/>
    <w:rsid w:val="00786F6C"/>
    <w:rsid w:val="007E0F52"/>
    <w:rsid w:val="00815A4F"/>
    <w:rsid w:val="00823879"/>
    <w:rsid w:val="008417DA"/>
    <w:rsid w:val="0085235E"/>
    <w:rsid w:val="008606E2"/>
    <w:rsid w:val="00861085"/>
    <w:rsid w:val="00861B79"/>
    <w:rsid w:val="0087343E"/>
    <w:rsid w:val="008807BD"/>
    <w:rsid w:val="008C01A3"/>
    <w:rsid w:val="008D3693"/>
    <w:rsid w:val="008D5943"/>
    <w:rsid w:val="008E5947"/>
    <w:rsid w:val="008F15AE"/>
    <w:rsid w:val="00900402"/>
    <w:rsid w:val="00903AD0"/>
    <w:rsid w:val="00920109"/>
    <w:rsid w:val="009270E6"/>
    <w:rsid w:val="00947916"/>
    <w:rsid w:val="00955560"/>
    <w:rsid w:val="009965A7"/>
    <w:rsid w:val="009C293C"/>
    <w:rsid w:val="009E6ACD"/>
    <w:rsid w:val="00A12319"/>
    <w:rsid w:val="00A213FE"/>
    <w:rsid w:val="00A36958"/>
    <w:rsid w:val="00A5500A"/>
    <w:rsid w:val="00AC0E0E"/>
    <w:rsid w:val="00AC16A8"/>
    <w:rsid w:val="00AD50D1"/>
    <w:rsid w:val="00B04BAC"/>
    <w:rsid w:val="00B13BC2"/>
    <w:rsid w:val="00B2474A"/>
    <w:rsid w:val="00B318CF"/>
    <w:rsid w:val="00B43C08"/>
    <w:rsid w:val="00BA7F49"/>
    <w:rsid w:val="00BD4FC2"/>
    <w:rsid w:val="00BD570D"/>
    <w:rsid w:val="00BF0DC4"/>
    <w:rsid w:val="00C0028B"/>
    <w:rsid w:val="00C36E96"/>
    <w:rsid w:val="00C63239"/>
    <w:rsid w:val="00C873CD"/>
    <w:rsid w:val="00C934AF"/>
    <w:rsid w:val="00C942EA"/>
    <w:rsid w:val="00C966E9"/>
    <w:rsid w:val="00CD0AA8"/>
    <w:rsid w:val="00CD518B"/>
    <w:rsid w:val="00CD7409"/>
    <w:rsid w:val="00D4190C"/>
    <w:rsid w:val="00D5070F"/>
    <w:rsid w:val="00D722B9"/>
    <w:rsid w:val="00D87856"/>
    <w:rsid w:val="00DB0FC7"/>
    <w:rsid w:val="00DF1D1E"/>
    <w:rsid w:val="00DF3897"/>
    <w:rsid w:val="00E24DE8"/>
    <w:rsid w:val="00E45322"/>
    <w:rsid w:val="00E55A77"/>
    <w:rsid w:val="00E66AAE"/>
    <w:rsid w:val="00EC02C1"/>
    <w:rsid w:val="00ED1B1F"/>
    <w:rsid w:val="00ED32EC"/>
    <w:rsid w:val="00EF2717"/>
    <w:rsid w:val="00F03C8B"/>
    <w:rsid w:val="00F04057"/>
    <w:rsid w:val="00F35CB1"/>
    <w:rsid w:val="00F51D6C"/>
    <w:rsid w:val="00F539F3"/>
    <w:rsid w:val="00F70ABF"/>
    <w:rsid w:val="00F76912"/>
    <w:rsid w:val="00F968F5"/>
    <w:rsid w:val="00FA1807"/>
    <w:rsid w:val="00FE7C44"/>
    <w:rsid w:val="00FF12D9"/>
    <w:rsid w:val="00FF595B"/>
    <w:rsid w:val="02363DEE"/>
    <w:rsid w:val="030D6589"/>
    <w:rsid w:val="04343C05"/>
    <w:rsid w:val="05844DFB"/>
    <w:rsid w:val="067EED15"/>
    <w:rsid w:val="06EE1B36"/>
    <w:rsid w:val="0766AED7"/>
    <w:rsid w:val="0835E974"/>
    <w:rsid w:val="0939E930"/>
    <w:rsid w:val="0BD63B9B"/>
    <w:rsid w:val="0F626AAE"/>
    <w:rsid w:val="113BCFBA"/>
    <w:rsid w:val="12702383"/>
    <w:rsid w:val="1321B4ED"/>
    <w:rsid w:val="13518BB0"/>
    <w:rsid w:val="174B963B"/>
    <w:rsid w:val="1C5329C4"/>
    <w:rsid w:val="1D79EF38"/>
    <w:rsid w:val="1DD24F9C"/>
    <w:rsid w:val="1F074CA4"/>
    <w:rsid w:val="2061AD4C"/>
    <w:rsid w:val="228921C7"/>
    <w:rsid w:val="2362104F"/>
    <w:rsid w:val="2428CE8F"/>
    <w:rsid w:val="24DF4777"/>
    <w:rsid w:val="278731EE"/>
    <w:rsid w:val="27992543"/>
    <w:rsid w:val="29593F43"/>
    <w:rsid w:val="2F06973B"/>
    <w:rsid w:val="2FD2EAD7"/>
    <w:rsid w:val="30B0C927"/>
    <w:rsid w:val="30E9039F"/>
    <w:rsid w:val="344C4A4F"/>
    <w:rsid w:val="37163DB8"/>
    <w:rsid w:val="3867DDB6"/>
    <w:rsid w:val="3B6C8BBA"/>
    <w:rsid w:val="3C8A71C9"/>
    <w:rsid w:val="3E5CFE48"/>
    <w:rsid w:val="419F8654"/>
    <w:rsid w:val="41DBE431"/>
    <w:rsid w:val="41F261E6"/>
    <w:rsid w:val="4240463D"/>
    <w:rsid w:val="456E4CF7"/>
    <w:rsid w:val="4B3593C5"/>
    <w:rsid w:val="4E7D6B96"/>
    <w:rsid w:val="4EA5E9AE"/>
    <w:rsid w:val="50A57B2C"/>
    <w:rsid w:val="50FD9BE3"/>
    <w:rsid w:val="571844FD"/>
    <w:rsid w:val="5B8FEDF6"/>
    <w:rsid w:val="62561153"/>
    <w:rsid w:val="62A74DAA"/>
    <w:rsid w:val="644723FA"/>
    <w:rsid w:val="68EE78A2"/>
    <w:rsid w:val="6955F002"/>
    <w:rsid w:val="698CA5D4"/>
    <w:rsid w:val="6A055819"/>
    <w:rsid w:val="6B98D852"/>
    <w:rsid w:val="6DC4330B"/>
    <w:rsid w:val="6DF92D22"/>
    <w:rsid w:val="6E06D4A1"/>
    <w:rsid w:val="70F37ADB"/>
    <w:rsid w:val="74578EE7"/>
    <w:rsid w:val="7822D017"/>
    <w:rsid w:val="79A91513"/>
    <w:rsid w:val="79DE8907"/>
    <w:rsid w:val="7E079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A6949"/>
  <w15:docId w15:val="{C502507B-3DE3-4076-992F-5DD9CED7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5D17CC"/>
    <w:rPr>
      <w:rFonts w:ascii="Arial" w:hAnsi="Arial" w:eastAsia="Times New Roman" w:cs="Times New Roman"/>
      <w:lang w:bidi="en-US"/>
    </w:rPr>
  </w:style>
  <w:style w:type="paragraph" w:styleId="Heading1">
    <w:name w:val="heading 1"/>
    <w:aliases w:val="Headlines"/>
    <w:basedOn w:val="Normal"/>
    <w:next w:val="Normal"/>
    <w:link w:val="Heading1Char"/>
    <w:autoRedefine/>
    <w:uiPriority w:val="9"/>
    <w:qFormat/>
    <w:rsid w:val="000B531D"/>
    <w:pPr>
      <w:keepNext/>
      <w:keepLines/>
      <w:widowControl/>
      <w:autoSpaceDE/>
      <w:autoSpaceDN/>
      <w:spacing w:after="360" w:line="600" w:lineRule="exact"/>
      <w:outlineLvl w:val="0"/>
    </w:pPr>
    <w:rPr>
      <w:rFonts w:cs="Arial"/>
      <w:b/>
      <w:bCs/>
      <w:color w:val="0D0D0D" w:themeColor="text1" w:themeTint="F2"/>
      <w:spacing w:val="10"/>
      <w:sz w:val="24"/>
      <w:szCs w:val="24"/>
      <w:lang w:bidi="ar-SA"/>
    </w:rPr>
  </w:style>
  <w:style w:type="paragraph" w:styleId="Heading2">
    <w:name w:val="heading 2"/>
    <w:aliases w:val="Intros"/>
    <w:basedOn w:val="Normal"/>
    <w:link w:val="Heading2Char"/>
    <w:uiPriority w:val="9"/>
    <w:qFormat/>
    <w:rsid w:val="008417DA"/>
    <w:pPr>
      <w:spacing w:line="276" w:lineRule="auto"/>
      <w:outlineLvl w:val="1"/>
    </w:pPr>
    <w:rPr>
      <w:rFonts w:cs="Arial"/>
      <w:sz w:val="28"/>
      <w:szCs w:val="28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D87856"/>
    <w:pPr>
      <w:keepNext/>
      <w:keepLines/>
      <w:widowControl/>
      <w:autoSpaceDE/>
      <w:autoSpaceDN/>
      <w:spacing w:before="40" w:line="276" w:lineRule="auto"/>
      <w:outlineLvl w:val="2"/>
    </w:pPr>
    <w:rPr>
      <w:rFonts w:ascii="Calibri" w:hAnsi="Calibri" w:cs="Calibri"/>
      <w:b/>
      <w:bCs/>
      <w:color w:val="002060"/>
      <w:lang w:bidi="ar-SA"/>
    </w:rPr>
  </w:style>
  <w:style w:type="paragraph" w:styleId="Heading4">
    <w:name w:val="heading 4"/>
    <w:aliases w:val="Subheads"/>
    <w:basedOn w:val="Normal"/>
    <w:next w:val="Normal"/>
    <w:link w:val="Heading4Char"/>
    <w:uiPriority w:val="9"/>
    <w:unhideWhenUsed/>
    <w:qFormat/>
    <w:rsid w:val="000D1FBB"/>
    <w:pPr>
      <w:spacing w:after="120"/>
      <w:outlineLvl w:val="3"/>
    </w:pPr>
    <w:rPr>
      <w:rFonts w:cs="Arial"/>
      <w:b/>
      <w:bCs/>
      <w:sz w:val="20"/>
      <w:szCs w:val="20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56C6C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ulletPoints" w:customStyle="1">
    <w:name w:val="Bullet Points"/>
    <w:basedOn w:val="Body"/>
    <w:autoRedefine/>
    <w:qFormat/>
    <w:rsid w:val="00B2474A"/>
    <w:pPr>
      <w:numPr>
        <w:numId w:val="3"/>
      </w:numPr>
      <w:spacing w:before="240" w:after="240" w:line="280" w:lineRule="exact"/>
      <w:ind w:right="36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D87856"/>
    <w:rPr>
      <w:rFonts w:ascii="Calibri" w:hAnsi="Calibri" w:eastAsia="Times New Roman" w:cs="Calibri"/>
      <w:b/>
      <w:bCs/>
      <w:color w:val="002060"/>
    </w:rPr>
  </w:style>
  <w:style w:type="character" w:styleId="Heading2Char" w:customStyle="1">
    <w:name w:val="Heading 2 Char"/>
    <w:aliases w:val="Intros Char"/>
    <w:basedOn w:val="DefaultParagraphFont"/>
    <w:link w:val="Heading2"/>
    <w:uiPriority w:val="9"/>
    <w:rsid w:val="008417DA"/>
    <w:rPr>
      <w:rFonts w:ascii="Arial" w:hAnsi="Arial" w:eastAsia="Times New Roman" w:cs="Arial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04057"/>
    <w:pPr>
      <w:widowControl/>
      <w:autoSpaceDE/>
      <w:autoSpaceDN/>
      <w:spacing w:before="100" w:beforeAutospacing="1" w:after="100" w:afterAutospacing="1"/>
    </w:pPr>
    <w:rPr>
      <w:rFonts w:asciiTheme="minorHAnsi" w:hAnsiTheme="minorHAnsi"/>
      <w:sz w:val="24"/>
      <w:szCs w:val="24"/>
      <w:lang w:bidi="ar-SA"/>
    </w:rPr>
  </w:style>
  <w:style w:type="character" w:styleId="BookTitle">
    <w:name w:val="Book Title"/>
    <w:basedOn w:val="DefaultParagraphFont"/>
    <w:uiPriority w:val="33"/>
    <w:rsid w:val="00137765"/>
    <w:rPr>
      <w:b/>
      <w:bCs/>
      <w:i/>
      <w:iCs/>
      <w:spacing w:val="5"/>
    </w:rPr>
  </w:style>
  <w:style w:type="paragraph" w:styleId="Body" w:customStyle="1">
    <w:name w:val="Body"/>
    <w:basedOn w:val="Normal"/>
    <w:qFormat/>
    <w:rsid w:val="005D17CC"/>
    <w:pPr>
      <w:widowControl/>
      <w:autoSpaceDE/>
      <w:autoSpaceDN/>
      <w:spacing w:after="225" w:line="276" w:lineRule="auto"/>
      <w:jc w:val="both"/>
    </w:pPr>
    <w:rPr>
      <w:rFonts w:cs="Arial"/>
      <w:color w:val="000000"/>
      <w:sz w:val="20"/>
      <w:szCs w:val="20"/>
      <w:lang w:bidi="ar-SA"/>
    </w:rPr>
  </w:style>
  <w:style w:type="paragraph" w:styleId="Title">
    <w:name w:val="Title"/>
    <w:basedOn w:val="Normal"/>
    <w:next w:val="Normal"/>
    <w:link w:val="TitleChar"/>
    <w:uiPriority w:val="10"/>
    <w:rsid w:val="00137765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IntenseReference">
    <w:name w:val="Intense Reference"/>
    <w:basedOn w:val="DefaultParagraphFont"/>
    <w:uiPriority w:val="32"/>
    <w:rsid w:val="00137765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rsid w:val="00137765"/>
    <w:rPr>
      <w:smallCaps/>
      <w:color w:val="5A5A5A" w:themeColor="text1" w:themeTint="A5"/>
    </w:rPr>
  </w:style>
  <w:style w:type="paragraph" w:styleId="ListParagraph">
    <w:name w:val="List Paragraph"/>
    <w:basedOn w:val="Normal"/>
    <w:uiPriority w:val="34"/>
    <w:rsid w:val="00137765"/>
    <w:pPr>
      <w:ind w:left="720"/>
      <w:contextualSpacing/>
    </w:pPr>
    <w:rPr>
      <w:rFonts w:asciiTheme="minorHAnsi" w:hAnsiTheme="minorHAnsi"/>
    </w:rPr>
  </w:style>
  <w:style w:type="character" w:styleId="Strong">
    <w:name w:val="Strong"/>
    <w:basedOn w:val="DefaultParagraphFont"/>
    <w:uiPriority w:val="22"/>
    <w:rsid w:val="00137765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74747E"/>
  </w:style>
  <w:style w:type="character" w:styleId="Heading1Char" w:customStyle="1">
    <w:name w:val="Heading 1 Char"/>
    <w:aliases w:val="Headlines Char"/>
    <w:basedOn w:val="DefaultParagraphFont"/>
    <w:link w:val="Heading1"/>
    <w:uiPriority w:val="9"/>
    <w:rsid w:val="000B531D"/>
    <w:rPr>
      <w:rFonts w:ascii="Arial" w:hAnsi="Arial" w:eastAsia="Times New Roman" w:cs="Arial"/>
      <w:b/>
      <w:bCs/>
      <w:color w:val="0D0D0D" w:themeColor="text1" w:themeTint="F2"/>
      <w:spacing w:val="10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37765"/>
    <w:rPr>
      <w:rFonts w:asciiTheme="majorHAnsi" w:hAnsiTheme="majorHAnsi" w:eastAsiaTheme="majorEastAsia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rsid w:val="00137765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137765"/>
    <w:rPr>
      <w:rFonts w:eastAsiaTheme="minorEastAsia"/>
      <w:color w:val="5A5A5A" w:themeColor="text1" w:themeTint="A5"/>
      <w:spacing w:val="15"/>
      <w:lang w:bidi="en-US"/>
    </w:rPr>
  </w:style>
  <w:style w:type="character" w:styleId="SubtleEmphasis">
    <w:name w:val="Subtle Emphasis"/>
    <w:basedOn w:val="DefaultParagraphFont"/>
    <w:uiPriority w:val="19"/>
    <w:rsid w:val="00137765"/>
    <w:rPr>
      <w:i/>
      <w:iCs/>
      <w:color w:val="404040" w:themeColor="text1" w:themeTint="BF"/>
    </w:rPr>
  </w:style>
  <w:style w:type="paragraph" w:styleId="NoSpacing">
    <w:name w:val="No Spacing"/>
    <w:uiPriority w:val="1"/>
    <w:rsid w:val="00137765"/>
    <w:rPr>
      <w:rFonts w:ascii="Times New Roman" w:hAnsi="Times New Roman" w:eastAsia="Times New Roman" w:cs="Times New Roman"/>
      <w:lang w:bidi="en-US"/>
    </w:rPr>
  </w:style>
  <w:style w:type="character" w:styleId="Heading4Char" w:customStyle="1">
    <w:name w:val="Heading 4 Char"/>
    <w:aliases w:val="Subheads Char"/>
    <w:basedOn w:val="DefaultParagraphFont"/>
    <w:link w:val="Heading4"/>
    <w:uiPriority w:val="9"/>
    <w:rsid w:val="000D1FBB"/>
    <w:rPr>
      <w:rFonts w:ascii="Arial" w:hAnsi="Arial" w:eastAsia="Times New Roman" w:cs="Arial"/>
      <w:b/>
      <w:bCs/>
      <w:sz w:val="20"/>
      <w:szCs w:val="2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56C6C"/>
    <w:rPr>
      <w:rFonts w:asciiTheme="majorHAnsi" w:hAnsiTheme="majorHAnsi" w:eastAsiaTheme="majorEastAsia" w:cstheme="majorBidi"/>
      <w:color w:val="365F91" w:themeColor="accent1" w:themeShade="BF"/>
      <w:lang w:bidi="en-US"/>
    </w:rPr>
  </w:style>
  <w:style w:type="paragraph" w:styleId="BasicParagraph" w:customStyle="1">
    <w:name w:val="[Basic Paragraph]"/>
    <w:basedOn w:val="Normal"/>
    <w:uiPriority w:val="99"/>
    <w:rsid w:val="00E24DE8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 w:eastAsiaTheme="minorHAnsi"/>
      <w:color w:val="000000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E24D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DE8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unhideWhenUsed/>
    <w:rsid w:val="00E24DE8"/>
    <w:pPr>
      <w:widowControl/>
      <w:autoSpaceDE/>
      <w:autoSpaceDN/>
      <w:spacing w:before="120" w:line="276" w:lineRule="auto"/>
      <w:ind w:left="220"/>
    </w:pPr>
    <w:rPr>
      <w:rFonts w:asciiTheme="minorHAnsi" w:hAnsiTheme="minorHAnsi" w:eastAsiaTheme="minorHAnsi" w:cstheme="minorHAnsi"/>
      <w:b/>
      <w:bCs/>
      <w:lang w:bidi="ar-SA"/>
    </w:rPr>
  </w:style>
  <w:style w:type="paragraph" w:styleId="HeadersSlugs" w:customStyle="1">
    <w:name w:val="Headers / Slugs"/>
    <w:basedOn w:val="Heading1"/>
    <w:qFormat/>
    <w:rsid w:val="00B2474A"/>
    <w:pPr>
      <w:spacing w:after="160" w:line="240" w:lineRule="auto"/>
    </w:pPr>
    <w:rPr>
      <w:b w:val="0"/>
      <w:color w:val="0D0D0D" w:themeColor="text1" w:themeTint="F2"/>
    </w:rPr>
  </w:style>
  <w:style w:type="paragraph" w:styleId="Header">
    <w:name w:val="header"/>
    <w:basedOn w:val="Normal"/>
    <w:link w:val="HeaderChar"/>
    <w:uiPriority w:val="99"/>
    <w:unhideWhenUsed/>
    <w:rsid w:val="00AD50D1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styleId="HeaderChar" w:customStyle="1">
    <w:name w:val="Header Char"/>
    <w:basedOn w:val="DefaultParagraphFont"/>
    <w:link w:val="Header"/>
    <w:uiPriority w:val="99"/>
    <w:rsid w:val="00AD50D1"/>
    <w:rPr>
      <w:rFonts w:eastAsia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46CAE"/>
    <w:pPr>
      <w:widowControl/>
      <w:tabs>
        <w:tab w:val="center" w:pos="4680"/>
        <w:tab w:val="right" w:pos="9360"/>
      </w:tabs>
      <w:autoSpaceDE/>
      <w:autoSpaceDN/>
    </w:pPr>
    <w:rPr>
      <w:rFonts w:asciiTheme="minorHAnsi" w:hAnsiTheme="minorHAnsi" w:eastAsiaTheme="minorEastAsia" w:cstheme="minorBidi"/>
      <w:lang w:eastAsia="zh-CN" w:bidi="ar-SA"/>
    </w:rPr>
  </w:style>
  <w:style w:type="character" w:styleId="FooterChar" w:customStyle="1">
    <w:name w:val="Footer Char"/>
    <w:basedOn w:val="DefaultParagraphFont"/>
    <w:link w:val="Footer"/>
    <w:uiPriority w:val="99"/>
    <w:rsid w:val="00546CAE"/>
    <w:rPr>
      <w:rFonts w:eastAsiaTheme="minorEastAsia"/>
      <w:lang w:eastAsia="zh-CN"/>
    </w:rPr>
  </w:style>
  <w:style w:type="paragraph" w:styleId="Header2" w:customStyle="1">
    <w:name w:val="Header 2"/>
    <w:basedOn w:val="Normal"/>
    <w:autoRedefine/>
    <w:qFormat/>
    <w:rsid w:val="005A7E12"/>
    <w:pPr>
      <w:spacing w:line="360" w:lineRule="auto"/>
    </w:pPr>
    <w:rPr>
      <w:rFonts w:ascii="Calibri" w:hAnsi="Calibri"/>
      <w:b/>
      <w:bCs/>
      <w:color w:val="002060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78338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5204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3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57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c345e2f-c454-4e8c-b48e-e496fd5664fc">
      <Terms xmlns="http://schemas.microsoft.com/office/infopath/2007/PartnerControls"/>
    </lcf76f155ced4ddcb4097134ff3c332f>
    <TaxCatchAll xmlns="54069256-e3ab-48b9-a674-d348a06f162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0BB94E03D05438A8FA5925DBE12CA" ma:contentTypeVersion="19" ma:contentTypeDescription="Create a new document." ma:contentTypeScope="" ma:versionID="09fe9ddd54965e7192b35a87cdc63d20">
  <xsd:schema xmlns:xsd="http://www.w3.org/2001/XMLSchema" xmlns:xs="http://www.w3.org/2001/XMLSchema" xmlns:p="http://schemas.microsoft.com/office/2006/metadata/properties" xmlns:ns1="http://schemas.microsoft.com/sharepoint/v3" xmlns:ns2="bc345e2f-c454-4e8c-b48e-e496fd5664fc" xmlns:ns3="f64517e2-33c5-4f78-9781-ca05e1c3f037" xmlns:ns4="54069256-e3ab-48b9-a674-d348a06f1628" targetNamespace="http://schemas.microsoft.com/office/2006/metadata/properties" ma:root="true" ma:fieldsID="99ddf21229be4e617a937a1d3b5059bd" ns1:_="" ns2:_="" ns3:_="" ns4:_="">
    <xsd:import namespace="http://schemas.microsoft.com/sharepoint/v3"/>
    <xsd:import namespace="bc345e2f-c454-4e8c-b48e-e496fd5664fc"/>
    <xsd:import namespace="f64517e2-33c5-4f78-9781-ca05e1c3f037"/>
    <xsd:import namespace="54069256-e3ab-48b9-a674-d348a06f1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45e2f-c454-4e8c-b48e-e496fd566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0ea6a4-c0f9-4ccf-bf6c-dcf772f52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517e2-33c5-4f78-9781-ca05e1c3f03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256-e3ab-48b9-a674-d348a06f1628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58cfd0e2-9c29-4d43-a991-8ed7b5533abd}" ma:internalName="TaxCatchAll" ma:showField="CatchAllData" ma:web="54069256-e3ab-48b9-a674-d348a06f1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05002-E261-414E-9BA6-7AC92BB75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4E2C4E-C931-8F48-A176-4F9F40362A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8FA03E-17AE-423E-98B2-233E6143E6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c345e2f-c454-4e8c-b48e-e496fd5664fc"/>
    <ds:schemaRef ds:uri="54069256-e3ab-48b9-a674-d348a06f1628"/>
  </ds:schemaRefs>
</ds:datastoreItem>
</file>

<file path=customXml/itemProps4.xml><?xml version="1.0" encoding="utf-8"?>
<ds:datastoreItem xmlns:ds="http://schemas.openxmlformats.org/officeDocument/2006/customXml" ds:itemID="{E00CA41B-F718-4D61-A621-B1598375C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c345e2f-c454-4e8c-b48e-e496fd5664fc"/>
    <ds:schemaRef ds:uri="f64517e2-33c5-4f78-9781-ca05e1c3f037"/>
    <ds:schemaRef ds:uri="54069256-e3ab-48b9-a674-d348a06f1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ICBA Regulatory Update: Payment Stablecoins and Digital Assets</dc:title>
  <dc:subject>ICBA comment letters on FDIC GENIUS Act implementation and PPSI customer identification requirements</dc:subject>
  <dc:creator>Brian Laverdure</dc:creator>
  <lastModifiedBy>Emma Darnell</lastModifiedBy>
  <revision>4</revision>
  <dcterms:created xsi:type="dcterms:W3CDTF">2026-09-01T14:54:00.0000000Z</dcterms:created>
  <dcterms:modified xsi:type="dcterms:W3CDTF">2026-09-10T18:26:07.6442349Z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2019-01-16T00:00:00Z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2019-01-16T00:00:00Z</vt:filetime>
  </property>
  <property fmtid="{D5CDD505-2E9C-101B-9397-08002B2CF9AE}" pid="5" name="ContentTypeId">
    <vt:lpwstr>0x010100AC60BB94E03D05438A8FA5925DBE12CA</vt:lpwstr>
  </property>
  <property fmtid="{D5CDD505-2E9C-101B-9397-08002B2CF9AE}" pid="6" name="ICBAFunctionalUse">
    <vt:lpwstr>48;#Template|41c46901-5438-4b3b-9bc1-74933e6b59ec</vt:lpwstr>
  </property>
  <property fmtid="{D5CDD505-2E9C-101B-9397-08002B2CF9AE}" pid="7" name="MediaServiceImageTags">
    <vt:lpwstr/>
  </property>
  <property fmtid="{D5CDD505-2E9C-101B-9397-08002B2CF9AE}" pid="8" name="ICBAServiceArea">
    <vt:lpwstr>59;#MARCOM|80a74eae-5985-41e0-abaf-141610dc65a8</vt:lpwstr>
  </property>
</Properties>
</file>