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727CFA" w:rsidR="00F70ABF" w:rsidP="7E382DAF" w:rsidRDefault="2CFD1F10" w14:paraId="64A74C3E" w14:textId="1BBF9CB8">
      <w:pPr>
        <w:spacing w:line="259" w:lineRule="auto"/>
        <w:jc w:val="right"/>
        <w:rPr>
          <w:b/>
          <w:bCs/>
        </w:rPr>
      </w:pPr>
      <w:r w:rsidRPr="7E382DAF">
        <w:rPr>
          <w:b/>
          <w:bCs/>
        </w:rPr>
        <w:t xml:space="preserve">September </w:t>
      </w:r>
      <w:r w:rsidRPr="7E382DAF" w:rsidR="008175C6">
        <w:rPr>
          <w:b/>
          <w:bCs/>
        </w:rPr>
        <w:t>202</w:t>
      </w:r>
      <w:r w:rsidRPr="7E382DAF" w:rsidR="00727CFA">
        <w:rPr>
          <w:b/>
          <w:bCs/>
        </w:rPr>
        <w:t>6</w:t>
      </w:r>
    </w:p>
    <w:p w:rsidRPr="00727CFA" w:rsidR="004E17C2" w:rsidP="00915542" w:rsidRDefault="004E17C2" w14:paraId="7FDC3D98" w14:textId="77777777">
      <w:pPr>
        <w:jc w:val="right"/>
      </w:pPr>
    </w:p>
    <w:p w:rsidRPr="00727CFA" w:rsidR="004E17C2" w:rsidP="00727CFA" w:rsidRDefault="004E17C2" w14:paraId="0E09B811" w14:textId="77777777">
      <w:pPr>
        <w:pStyle w:val="Heading1"/>
      </w:pPr>
      <w:bookmarkStart w:name="_Toc9512041" w:id="0"/>
      <w:r w:rsidRPr="00727CFA">
        <w:t xml:space="preserve">ICBA Regulatory Update: Section 1071 – Small Business Loan Data Collection </w:t>
      </w:r>
      <w:bookmarkEnd w:id="0"/>
    </w:p>
    <w:p w:rsidRPr="00727CFA" w:rsidR="00915542" w:rsidP="00915542" w:rsidRDefault="00915542" w14:paraId="0C066E2E" w14:textId="77777777">
      <w:pPr>
        <w:keepNext/>
        <w:keepLines/>
        <w:widowControl/>
        <w:autoSpaceDE/>
        <w:autoSpaceDN/>
        <w:spacing w:line="276" w:lineRule="auto"/>
        <w:outlineLvl w:val="2"/>
        <w:rPr>
          <w:rStyle w:val="Heading3Char"/>
          <w:rFonts w:ascii="Arial" w:hAnsi="Arial" w:cs="Arial"/>
          <w:color w:val="0D0D0D" w:themeColor="text1" w:themeTint="F2"/>
          <w:u w:val="single"/>
          <w:lang w:bidi="ar-SA"/>
        </w:rPr>
      </w:pPr>
      <w:bookmarkStart w:name="_Toc9512043" w:id="1"/>
    </w:p>
    <w:p w:rsidRPr="00727CFA" w:rsidR="004E17C2" w:rsidP="00915542" w:rsidRDefault="004E17C2" w14:paraId="30D60D10" w14:textId="093331B4">
      <w:pPr>
        <w:keepNext/>
        <w:keepLines/>
        <w:widowControl/>
        <w:autoSpaceDE/>
        <w:autoSpaceDN/>
        <w:spacing w:line="276" w:lineRule="auto"/>
        <w:outlineLvl w:val="2"/>
        <w:rPr>
          <w:rStyle w:val="Heading3Char"/>
          <w:rFonts w:ascii="Arial" w:hAnsi="Arial" w:cs="Arial"/>
          <w:b w:val="0"/>
          <w:bCs w:val="0"/>
          <w:color w:val="0D0D0D" w:themeColor="text1" w:themeTint="F2"/>
          <w:lang w:bidi="ar-SA"/>
        </w:rPr>
      </w:pPr>
      <w:r w:rsidRPr="00727CFA">
        <w:rPr>
          <w:rStyle w:val="Heading3Char"/>
          <w:rFonts w:ascii="Arial" w:hAnsi="Arial" w:cs="Arial"/>
          <w:color w:val="0D0D0D" w:themeColor="text1" w:themeTint="F2"/>
          <w:u w:val="single"/>
          <w:lang w:bidi="ar-SA"/>
        </w:rPr>
        <w:t>Topic/Issue</w:t>
      </w:r>
      <w:r w:rsidRPr="00727CFA">
        <w:rPr>
          <w:rStyle w:val="Heading3Char"/>
          <w:rFonts w:ascii="Arial" w:hAnsi="Arial" w:cs="Arial"/>
          <w:color w:val="0D0D0D" w:themeColor="text1" w:themeTint="F2"/>
          <w:lang w:bidi="ar-SA"/>
        </w:rPr>
        <w:t xml:space="preserve">: </w:t>
      </w:r>
      <w:r w:rsidRPr="00727CFA">
        <w:rPr>
          <w:rStyle w:val="Heading3Char"/>
          <w:rFonts w:ascii="Arial" w:hAnsi="Arial" w:cs="Arial"/>
          <w:b w:val="0"/>
          <w:bCs w:val="0"/>
          <w:color w:val="0D0D0D" w:themeColor="text1" w:themeTint="F2"/>
          <w:lang w:bidi="ar-SA"/>
        </w:rPr>
        <w:t>Section 1071</w:t>
      </w:r>
    </w:p>
    <w:p w:rsidRPr="00727CFA" w:rsidR="004E17C2" w:rsidP="00915542" w:rsidRDefault="004E17C2" w14:paraId="65B7EEB1" w14:textId="77777777">
      <w:pPr>
        <w:keepNext/>
        <w:keepLines/>
        <w:widowControl/>
        <w:autoSpaceDE/>
        <w:autoSpaceDN/>
        <w:spacing w:line="276" w:lineRule="auto"/>
        <w:outlineLvl w:val="2"/>
        <w:rPr>
          <w:rStyle w:val="Heading3Char"/>
          <w:rFonts w:ascii="Arial" w:hAnsi="Arial" w:cs="Arial"/>
          <w:color w:val="0D0D0D" w:themeColor="text1" w:themeTint="F2"/>
          <w:lang w:bidi="ar-SA"/>
        </w:rPr>
      </w:pPr>
    </w:p>
    <w:p w:rsidRPr="00727CFA" w:rsidR="004E17C2" w:rsidP="00915542" w:rsidRDefault="004E17C2" w14:paraId="1EBFD9A2" w14:textId="57B2140C">
      <w:pPr>
        <w:keepNext/>
        <w:keepLines/>
        <w:widowControl/>
        <w:autoSpaceDE/>
        <w:autoSpaceDN/>
        <w:spacing w:line="276" w:lineRule="auto"/>
        <w:outlineLvl w:val="2"/>
        <w:rPr>
          <w:rStyle w:val="Heading3Char"/>
          <w:rFonts w:ascii="Arial" w:hAnsi="Arial" w:cs="Arial"/>
          <w:b w:val="0"/>
          <w:bCs w:val="0"/>
          <w:color w:val="0D0D0D" w:themeColor="text1" w:themeTint="F2"/>
          <w:lang w:bidi="ar-SA"/>
        </w:rPr>
      </w:pPr>
      <w:r w:rsidRPr="00727CFA">
        <w:rPr>
          <w:rStyle w:val="Heading3Char"/>
          <w:rFonts w:ascii="Arial" w:hAnsi="Arial" w:cs="Arial"/>
          <w:color w:val="0D0D0D" w:themeColor="text1" w:themeTint="F2"/>
          <w:u w:val="single"/>
          <w:lang w:bidi="ar-SA"/>
        </w:rPr>
        <w:t>Agency</w:t>
      </w:r>
      <w:r w:rsidRPr="00727CFA">
        <w:rPr>
          <w:rStyle w:val="Heading3Char"/>
          <w:rFonts w:ascii="Arial" w:hAnsi="Arial" w:cs="Arial"/>
          <w:color w:val="0D0D0D" w:themeColor="text1" w:themeTint="F2"/>
          <w:lang w:bidi="ar-SA"/>
        </w:rPr>
        <w:t xml:space="preserve">: </w:t>
      </w:r>
      <w:r w:rsidRPr="00727CFA">
        <w:rPr>
          <w:rStyle w:val="Heading3Char"/>
          <w:rFonts w:ascii="Arial" w:hAnsi="Arial" w:cs="Arial"/>
          <w:b w:val="0"/>
          <w:bCs w:val="0"/>
          <w:color w:val="0D0D0D" w:themeColor="text1" w:themeTint="F2"/>
          <w:lang w:bidi="ar-SA"/>
        </w:rPr>
        <w:t>CFPB</w:t>
      </w:r>
    </w:p>
    <w:bookmarkEnd w:id="1"/>
    <w:p w:rsidR="004E17C2" w:rsidP="0F716E4C" w:rsidRDefault="004E17C2" w14:paraId="7EBB690C" w14:textId="1E46D3C7">
      <w:pPr>
        <w:pStyle w:val="Body"/>
        <w:spacing w:before="240" w:after="200"/>
      </w:pPr>
      <w:r w:rsidRPr="0F716E4C">
        <w:rPr>
          <w:rStyle w:val="Heading3Char"/>
          <w:rFonts w:ascii="Arial" w:hAnsi="Arial" w:eastAsia="Calibri" w:cs="Arial"/>
          <w:color w:val="0D0D0D" w:themeColor="text1" w:themeTint="F2"/>
          <w:sz w:val="22"/>
          <w:szCs w:val="22"/>
          <w:u w:val="single"/>
        </w:rPr>
        <w:t>Status</w:t>
      </w:r>
      <w:r w:rsidRPr="0F716E4C">
        <w:rPr>
          <w:rStyle w:val="Heading3Char"/>
          <w:rFonts w:ascii="Arial" w:hAnsi="Arial" w:eastAsia="Calibri" w:cs="Arial"/>
          <w:color w:val="0D0D0D" w:themeColor="text1" w:themeTint="F2"/>
          <w:sz w:val="22"/>
          <w:szCs w:val="22"/>
        </w:rPr>
        <w:t>:</w:t>
      </w:r>
      <w:r w:rsidRPr="0F716E4C">
        <w:rPr>
          <w:rStyle w:val="Heading3Char"/>
          <w:rFonts w:ascii="Arial" w:hAnsi="Arial" w:cs="Arial" w:eastAsiaTheme="minorEastAsia"/>
          <w:b w:val="0"/>
          <w:bCs w:val="0"/>
          <w:color w:val="0D0D0D" w:themeColor="text1" w:themeTint="F2"/>
          <w:sz w:val="22"/>
          <w:szCs w:val="22"/>
        </w:rPr>
        <w:t xml:space="preserve"> </w:t>
      </w:r>
      <w:r w:rsidRPr="0F716E4C" w:rsidR="64285994">
        <w:rPr>
          <w:rStyle w:val="Heading3Char"/>
          <w:rFonts w:ascii="Arial" w:hAnsi="Arial" w:cs="Arial" w:eastAsiaTheme="minorEastAsia"/>
          <w:b w:val="0"/>
          <w:bCs w:val="0"/>
          <w:color w:val="0D0D0D" w:themeColor="text1" w:themeTint="F2"/>
          <w:sz w:val="22"/>
          <w:szCs w:val="22"/>
        </w:rPr>
        <w:t xml:space="preserve">In </w:t>
      </w:r>
      <w:r w:rsidRPr="0F716E4C" w:rsidR="13E28EA2">
        <w:rPr>
          <w:rStyle w:val="Heading3Char"/>
          <w:rFonts w:ascii="Arial" w:hAnsi="Arial" w:cs="Arial" w:eastAsiaTheme="minorEastAsia"/>
          <w:b w:val="0"/>
          <w:bCs w:val="0"/>
          <w:color w:val="0D0D0D" w:themeColor="text1" w:themeTint="F2"/>
          <w:sz w:val="22"/>
          <w:szCs w:val="22"/>
        </w:rPr>
        <w:t xml:space="preserve">May 2026, the </w:t>
      </w:r>
      <w:r w:rsidRPr="0F716E4C" w:rsidR="64285994">
        <w:rPr>
          <w:rStyle w:val="Heading3Char"/>
          <w:rFonts w:ascii="Arial" w:hAnsi="Arial" w:cs="Arial" w:eastAsiaTheme="minorEastAsia"/>
          <w:b w:val="0"/>
          <w:bCs w:val="0"/>
          <w:color w:val="0D0D0D" w:themeColor="text1" w:themeTint="F2"/>
          <w:sz w:val="22"/>
          <w:szCs w:val="22"/>
        </w:rPr>
        <w:t xml:space="preserve">CFPB </w:t>
      </w:r>
      <w:r w:rsidRPr="0F716E4C" w:rsidR="52455B64">
        <w:rPr>
          <w:rStyle w:val="Heading3Char"/>
          <w:rFonts w:ascii="Arial" w:hAnsi="Arial" w:cs="Arial" w:eastAsiaTheme="minorEastAsia"/>
          <w:b w:val="0"/>
          <w:bCs w:val="0"/>
          <w:color w:val="0D0D0D" w:themeColor="text1" w:themeTint="F2"/>
          <w:sz w:val="22"/>
          <w:szCs w:val="22"/>
        </w:rPr>
        <w:t xml:space="preserve">finalized significant changes to its 2023 rule issued under the Chopra-led CFPB. Among other changes, </w:t>
      </w:r>
      <w:r w:rsidRPr="0F716E4C" w:rsidR="52455B64">
        <w:rPr>
          <w:rFonts w:eastAsia="MS Mincho"/>
          <w:color w:val="0D0D0D" w:themeColor="text1" w:themeTint="F2"/>
          <w:sz w:val="22"/>
          <w:szCs w:val="22"/>
        </w:rPr>
        <w:t xml:space="preserve">the rule </w:t>
      </w:r>
      <w:r w:rsidRPr="0F716E4C" w:rsidR="5BF3563F">
        <w:rPr>
          <w:rFonts w:eastAsia="MS Mincho"/>
          <w:color w:val="0D0D0D" w:themeColor="text1" w:themeTint="F2"/>
          <w:sz w:val="22"/>
          <w:szCs w:val="22"/>
        </w:rPr>
        <w:t xml:space="preserve">(1) </w:t>
      </w:r>
      <w:r w:rsidRPr="0F716E4C" w:rsidR="52455B64">
        <w:rPr>
          <w:rFonts w:eastAsia="MS Mincho"/>
          <w:color w:val="0D0D0D" w:themeColor="text1" w:themeTint="F2"/>
          <w:sz w:val="22"/>
          <w:szCs w:val="22"/>
        </w:rPr>
        <w:t>reduces the number of covered banks, from those that originate 100 or more small business loans to those that originate 1,000 or more</w:t>
      </w:r>
      <w:r w:rsidRPr="0F716E4C" w:rsidR="593B6725">
        <w:rPr>
          <w:rFonts w:eastAsia="MS Mincho"/>
          <w:color w:val="0D0D0D" w:themeColor="text1" w:themeTint="F2"/>
          <w:sz w:val="22"/>
          <w:szCs w:val="22"/>
        </w:rPr>
        <w:t xml:space="preserve">, (2) </w:t>
      </w:r>
      <w:r w:rsidRPr="0F716E4C" w:rsidR="52455B64">
        <w:rPr>
          <w:rFonts w:eastAsia="MS Mincho"/>
          <w:color w:val="0D0D0D" w:themeColor="text1" w:themeTint="F2"/>
          <w:sz w:val="22"/>
          <w:szCs w:val="22"/>
        </w:rPr>
        <w:t>reduced the number of datapoints to pr</w:t>
      </w:r>
      <w:r w:rsidRPr="0F716E4C" w:rsidR="20D1198C">
        <w:rPr>
          <w:rFonts w:eastAsia="MS Mincho"/>
          <w:color w:val="0D0D0D" w:themeColor="text1" w:themeTint="F2"/>
          <w:sz w:val="22"/>
          <w:szCs w:val="22"/>
        </w:rPr>
        <w:t>imarily only those required by statute, as opposed to the dozens of discretionary datapoints required under the 2023 rule</w:t>
      </w:r>
      <w:r w:rsidRPr="0F716E4C" w:rsidR="64CFBFE2">
        <w:rPr>
          <w:rFonts w:eastAsia="MS Mincho"/>
          <w:color w:val="0D0D0D" w:themeColor="text1" w:themeTint="F2"/>
          <w:sz w:val="22"/>
          <w:szCs w:val="22"/>
        </w:rPr>
        <w:t xml:space="preserve">, and (3) </w:t>
      </w:r>
      <w:r w:rsidRPr="0F716E4C" w:rsidR="20D1198C">
        <w:rPr>
          <w:rFonts w:eastAsia="MS Mincho"/>
          <w:color w:val="0D0D0D" w:themeColor="text1" w:themeTint="F2"/>
          <w:sz w:val="22"/>
          <w:szCs w:val="22"/>
        </w:rPr>
        <w:t xml:space="preserve">excludes farm and ag loans from coverage, which were originally included in the loan threshold calculation. </w:t>
      </w:r>
    </w:p>
    <w:p w:rsidR="64285994" w:rsidP="0F716E4C" w:rsidRDefault="64285994" w14:paraId="6EA4F03C" w14:textId="34A58DD0">
      <w:pPr>
        <w:pStyle w:val="Body"/>
        <w:spacing w:before="240" w:after="200"/>
        <w:rPr>
          <w:rFonts w:eastAsia="MS Mincho"/>
          <w:color w:val="0D0D0D" w:themeColor="text1" w:themeTint="F2"/>
          <w:sz w:val="22"/>
          <w:szCs w:val="22"/>
        </w:rPr>
      </w:pPr>
      <w:r w:rsidRPr="0F716E4C">
        <w:rPr>
          <w:b/>
          <w:bCs/>
          <w:color w:val="0D0D0D" w:themeColor="text1" w:themeTint="F2"/>
          <w:sz w:val="22"/>
          <w:szCs w:val="22"/>
          <w:u w:val="single"/>
        </w:rPr>
        <w:t>ICBA Position</w:t>
      </w:r>
      <w:r w:rsidRPr="0F716E4C">
        <w:rPr>
          <w:b/>
          <w:bCs/>
          <w:color w:val="0D0D0D" w:themeColor="text1" w:themeTint="F2"/>
          <w:sz w:val="22"/>
          <w:szCs w:val="22"/>
        </w:rPr>
        <w:t>:</w:t>
      </w:r>
      <w:r w:rsidRPr="0F716E4C" w:rsidR="0D5C9D81">
        <w:rPr>
          <w:color w:val="0D0D0D" w:themeColor="text1" w:themeTint="F2"/>
          <w:sz w:val="22"/>
          <w:szCs w:val="22"/>
        </w:rPr>
        <w:t xml:space="preserve"> </w:t>
      </w:r>
      <w:r w:rsidRPr="0F716E4C" w:rsidR="0D5C9D81">
        <w:rPr>
          <w:rFonts w:eastAsia="MS Mincho"/>
          <w:color w:val="0D0D0D" w:themeColor="text1" w:themeTint="F2"/>
          <w:sz w:val="22"/>
          <w:szCs w:val="22"/>
        </w:rPr>
        <w:t xml:space="preserve">ICBA commends the administration for heeding community banker concerns with the CFPB’s 1071 rule and making needed improvements to help mitigate the negative impact of the intrusive and overly burdensome data collection and reporting requirements for small-business loans. </w:t>
      </w:r>
    </w:p>
    <w:p w:rsidR="0D5C9D81" w:rsidP="0F716E4C" w:rsidRDefault="0D5C9D81" w14:paraId="2278F3FF" w14:textId="713BA394">
      <w:pPr>
        <w:pStyle w:val="Body"/>
        <w:spacing w:before="240" w:after="200"/>
        <w:rPr>
          <w:rFonts w:eastAsia="MS Mincho"/>
          <w:color w:val="0D0D0D" w:themeColor="text1" w:themeTint="F2"/>
          <w:sz w:val="22"/>
          <w:szCs w:val="22"/>
        </w:rPr>
      </w:pPr>
      <w:r w:rsidRPr="0F716E4C">
        <w:rPr>
          <w:rFonts w:eastAsia="MS Mincho"/>
          <w:color w:val="0D0D0D" w:themeColor="text1" w:themeTint="F2"/>
          <w:sz w:val="22"/>
          <w:szCs w:val="22"/>
        </w:rPr>
        <w:t xml:space="preserve">For instance, provisions exempting institutions that originate fewer than 1,000 covered small-business loans per year, defining small businesses as having gross annual revenues of $1 million or less, and exempting agricultural loans align with ICBA’s repeated calls for policymakers to exempt community banks from the data collection requirements. </w:t>
      </w:r>
    </w:p>
    <w:p w:rsidR="0D5C9D81" w:rsidP="0F716E4C" w:rsidRDefault="0D5C9D81" w14:paraId="52BCA55F" w14:textId="2B0E9873">
      <w:pPr>
        <w:pStyle w:val="Body"/>
        <w:spacing w:before="240" w:after="200"/>
        <w:rPr>
          <w:rFonts w:eastAsia="MS Mincho"/>
          <w:color w:val="0D0D0D" w:themeColor="text1" w:themeTint="F2"/>
          <w:sz w:val="22"/>
          <w:szCs w:val="22"/>
        </w:rPr>
      </w:pPr>
      <w:r w:rsidRPr="456F3353" w:rsidR="0D5C9D81">
        <w:rPr>
          <w:rFonts w:eastAsia="MS Mincho"/>
          <w:color w:val="0D0D0D" w:themeColor="text1" w:themeTint="F2" w:themeShade="FF"/>
          <w:sz w:val="22"/>
          <w:szCs w:val="22"/>
        </w:rPr>
        <w:t xml:space="preserve">Nevertheless, ICBA continues to strongly oppose a full exemption for Farm Credit System entities without advancing a similar full exemption for all community banks under </w:t>
      </w:r>
      <w:bookmarkStart w:name="_Int_q8EcMlAc" w:id="2009382451"/>
      <w:r w:rsidRPr="456F3353" w:rsidR="0D5C9D81">
        <w:rPr>
          <w:rFonts w:eastAsia="MS Mincho"/>
          <w:color w:val="0D0D0D" w:themeColor="text1" w:themeTint="F2" w:themeShade="FF"/>
          <w:sz w:val="22"/>
          <w:szCs w:val="22"/>
        </w:rPr>
        <w:t>$10 billion</w:t>
      </w:r>
      <w:bookmarkEnd w:id="2009382451"/>
      <w:r w:rsidRPr="456F3353" w:rsidR="0D5C9D81">
        <w:rPr>
          <w:rFonts w:eastAsia="MS Mincho"/>
          <w:color w:val="0D0D0D" w:themeColor="text1" w:themeTint="F2" w:themeShade="FF"/>
          <w:sz w:val="22"/>
          <w:szCs w:val="22"/>
        </w:rPr>
        <w:t xml:space="preserve"> in assets to avoid degrading the ability of community banks to meet the needs of small businesses.</w:t>
      </w:r>
    </w:p>
    <w:p w:rsidRPr="00727CFA" w:rsidR="64285994" w:rsidP="0199E14F" w:rsidRDefault="64285994" w14:paraId="23B15808" w14:textId="1D8B11D3">
      <w:pPr>
        <w:pStyle w:val="Header2"/>
        <w:rPr>
          <w:rFonts w:ascii="Arial" w:hAnsi="Arial" w:cs="Arial"/>
          <w:color w:val="0D0D0D" w:themeColor="text1" w:themeTint="F2"/>
          <w:sz w:val="22"/>
        </w:rPr>
      </w:pPr>
      <w:r w:rsidRPr="00727CFA">
        <w:rPr>
          <w:rFonts w:ascii="Arial" w:hAnsi="Arial" w:cs="Arial"/>
          <w:color w:val="0D0D0D" w:themeColor="text1" w:themeTint="F2"/>
          <w:sz w:val="22"/>
          <w:u w:val="single"/>
        </w:rPr>
        <w:t>Key Talking Points</w:t>
      </w:r>
      <w:r w:rsidRPr="00727CFA">
        <w:rPr>
          <w:rFonts w:ascii="Arial" w:hAnsi="Arial" w:cs="Arial"/>
          <w:color w:val="0D0D0D" w:themeColor="text1" w:themeTint="F2"/>
          <w:sz w:val="22"/>
        </w:rPr>
        <w:t>:</w:t>
      </w:r>
    </w:p>
    <w:p w:rsidRPr="00727CFA" w:rsidR="64285994" w:rsidP="456F3353" w:rsidRDefault="64285994" w14:paraId="4DE4853A" w14:textId="733795B4">
      <w:pPr>
        <w:pStyle w:val="ListParagraph"/>
        <w:numPr>
          <w:ilvl w:val="0"/>
          <w:numId w:val="1"/>
        </w:numPr>
        <w:spacing w:line="276" w:lineRule="auto"/>
        <w:ind w:left="360"/>
        <w:rPr>
          <w:rStyle w:val="Heading3Char"/>
          <w:rFonts w:ascii="Arial" w:hAnsi="Arial" w:eastAsia="ＭＳ 明朝" w:cs="Arial" w:eastAsiaTheme="minorEastAsia"/>
          <w:color w:val="0D0D0D" w:themeColor="text1" w:themeTint="F2"/>
          <w:lang w:bidi="ar-SA"/>
        </w:rPr>
      </w:pPr>
      <w:r w:rsidRPr="456F3353" w:rsidR="64285994">
        <w:rPr>
          <w:rStyle w:val="Heading3Char"/>
          <w:rFonts w:ascii="Arial" w:hAnsi="Arial" w:eastAsia="ＭＳ 明朝" w:cs="Arial" w:eastAsiaTheme="minorEastAsia"/>
          <w:b w:val="0"/>
          <w:bCs w:val="0"/>
          <w:color w:val="0D0D0D" w:themeColor="text1" w:themeTint="F2" w:themeShade="FF"/>
          <w:lang w:bidi="ar-SA"/>
        </w:rPr>
        <w:t xml:space="preserve">Exempting community banks that </w:t>
      </w:r>
      <w:bookmarkStart w:name="_Int_8EQjp3Z8" w:id="1605650378"/>
      <w:r w:rsidRPr="456F3353" w:rsidR="64285994">
        <w:rPr>
          <w:rStyle w:val="Heading3Char"/>
          <w:rFonts w:ascii="Arial" w:hAnsi="Arial" w:eastAsia="ＭＳ 明朝" w:cs="Arial" w:eastAsiaTheme="minorEastAsia"/>
          <w:b w:val="0"/>
          <w:bCs w:val="0"/>
          <w:color w:val="0D0D0D" w:themeColor="text1" w:themeTint="F2" w:themeShade="FF"/>
          <w:lang w:bidi="ar-SA"/>
        </w:rPr>
        <w:t>originate</w:t>
      </w:r>
      <w:bookmarkEnd w:id="1605650378"/>
      <w:r w:rsidRPr="456F3353" w:rsidR="64285994">
        <w:rPr>
          <w:rStyle w:val="Heading3Char"/>
          <w:rFonts w:ascii="Arial" w:hAnsi="Arial" w:eastAsia="ＭＳ 明朝" w:cs="Arial" w:eastAsiaTheme="minorEastAsia"/>
          <w:b w:val="0"/>
          <w:bCs w:val="0"/>
          <w:color w:val="0D0D0D" w:themeColor="text1" w:themeTint="F2" w:themeShade="FF"/>
          <w:lang w:bidi="ar-SA"/>
        </w:rPr>
        <w:t xml:space="preserve"> fewer than 1,000 small business loans benefit</w:t>
      </w:r>
      <w:r w:rsidRPr="456F3353" w:rsidR="5BDB2592">
        <w:rPr>
          <w:rStyle w:val="Heading3Char"/>
          <w:rFonts w:ascii="Arial" w:hAnsi="Arial" w:eastAsia="ＭＳ 明朝" w:cs="Arial" w:eastAsiaTheme="minorEastAsia"/>
          <w:b w:val="0"/>
          <w:bCs w:val="0"/>
          <w:color w:val="0D0D0D" w:themeColor="text1" w:themeTint="F2" w:themeShade="FF"/>
          <w:lang w:bidi="ar-SA"/>
        </w:rPr>
        <w:t>s</w:t>
      </w:r>
      <w:r w:rsidRPr="456F3353" w:rsidR="64285994">
        <w:rPr>
          <w:rStyle w:val="Heading3Char"/>
          <w:rFonts w:ascii="Arial" w:hAnsi="Arial" w:eastAsia="ＭＳ 明朝" w:cs="Arial" w:eastAsiaTheme="minorEastAsia"/>
          <w:b w:val="0"/>
          <w:bCs w:val="0"/>
          <w:color w:val="0D0D0D" w:themeColor="text1" w:themeTint="F2" w:themeShade="FF"/>
          <w:lang w:bidi="ar-SA"/>
        </w:rPr>
        <w:t xml:space="preserve"> the vast majority of community banks. </w:t>
      </w:r>
      <w:bookmarkStart w:name="_Int_86aqyJ7T" w:id="2044024635"/>
      <w:r w:rsidRPr="456F3353" w:rsidR="7E5B56D3">
        <w:rPr>
          <w:rStyle w:val="Heading3Char"/>
          <w:rFonts w:ascii="Arial" w:hAnsi="Arial" w:eastAsia="ＭＳ 明朝" w:cs="Arial" w:eastAsiaTheme="minorEastAsia"/>
          <w:b w:val="0"/>
          <w:bCs w:val="0"/>
          <w:color w:val="0D0D0D" w:themeColor="text1" w:themeTint="F2" w:themeShade="FF"/>
          <w:lang w:bidi="ar-SA"/>
        </w:rPr>
        <w:t>Nearly all</w:t>
      </w:r>
      <w:bookmarkEnd w:id="2044024635"/>
      <w:r w:rsidRPr="456F3353" w:rsidR="7E5B56D3">
        <w:rPr>
          <w:rStyle w:val="Heading3Char"/>
          <w:rFonts w:ascii="Arial" w:hAnsi="Arial" w:eastAsia="ＭＳ 明朝" w:cs="Arial" w:eastAsiaTheme="minorEastAsia"/>
          <w:b w:val="0"/>
          <w:bCs w:val="0"/>
          <w:color w:val="0D0D0D" w:themeColor="text1" w:themeTint="F2" w:themeShade="FF"/>
          <w:lang w:bidi="ar-SA"/>
        </w:rPr>
        <w:t xml:space="preserve"> banks under </w:t>
      </w:r>
      <w:bookmarkStart w:name="_Int_fNbYulKs" w:id="2040669184"/>
      <w:r w:rsidRPr="456F3353" w:rsidR="7E5B56D3">
        <w:rPr>
          <w:rStyle w:val="Heading3Char"/>
          <w:rFonts w:ascii="Arial" w:hAnsi="Arial" w:eastAsia="ＭＳ 明朝" w:cs="Arial" w:eastAsiaTheme="minorEastAsia"/>
          <w:b w:val="0"/>
          <w:bCs w:val="0"/>
          <w:color w:val="0D0D0D" w:themeColor="text1" w:themeTint="F2" w:themeShade="FF"/>
          <w:lang w:bidi="ar-SA"/>
        </w:rPr>
        <w:t>$10 billion</w:t>
      </w:r>
      <w:bookmarkEnd w:id="2040669184"/>
      <w:r w:rsidRPr="456F3353" w:rsidR="7E5B56D3">
        <w:rPr>
          <w:rStyle w:val="Heading3Char"/>
          <w:rFonts w:ascii="Arial" w:hAnsi="Arial" w:eastAsia="ＭＳ 明朝" w:cs="Arial" w:eastAsiaTheme="minorEastAsia"/>
          <w:b w:val="0"/>
          <w:bCs w:val="0"/>
          <w:color w:val="0D0D0D" w:themeColor="text1" w:themeTint="F2" w:themeShade="FF"/>
          <w:lang w:bidi="ar-SA"/>
        </w:rPr>
        <w:t xml:space="preserve"> in assets are exempt, excluding approximately 15 banks that conduct significant small business lending activity. </w:t>
      </w:r>
    </w:p>
    <w:p w:rsidRPr="00727CFA" w:rsidR="64285994" w:rsidP="0F716E4C" w:rsidRDefault="64285994" w14:paraId="0662537B" w14:textId="4F0FC6A5">
      <w:pPr>
        <w:pStyle w:val="ListParagraph"/>
        <w:numPr>
          <w:ilvl w:val="0"/>
          <w:numId w:val="1"/>
        </w:numPr>
        <w:spacing w:line="276" w:lineRule="auto"/>
        <w:ind w:left="360"/>
        <w:rPr>
          <w:rStyle w:val="Heading3Char"/>
          <w:rFonts w:ascii="Arial" w:hAnsi="Arial" w:cs="Arial" w:eastAsiaTheme="minorEastAsia"/>
          <w:b w:val="0"/>
          <w:bCs w:val="0"/>
          <w:color w:val="0D0D0D" w:themeColor="text1" w:themeTint="F2"/>
          <w:lang w:bidi="ar-SA"/>
        </w:rPr>
      </w:pPr>
      <w:r w:rsidRPr="0F716E4C">
        <w:rPr>
          <w:rStyle w:val="Heading3Char"/>
          <w:rFonts w:ascii="Arial" w:hAnsi="Arial" w:cs="Arial" w:eastAsiaTheme="minorEastAsia"/>
          <w:b w:val="0"/>
          <w:bCs w:val="0"/>
          <w:color w:val="0D0D0D" w:themeColor="text1" w:themeTint="F2"/>
          <w:lang w:bidi="ar-SA"/>
        </w:rPr>
        <w:t>Categorically exempting Farm Credit System lenders, regardless of asset size, provide</w:t>
      </w:r>
      <w:r w:rsidRPr="0F716E4C" w:rsidR="5E17D66A">
        <w:rPr>
          <w:rStyle w:val="Heading3Char"/>
          <w:rFonts w:ascii="Arial" w:hAnsi="Arial" w:cs="Arial" w:eastAsiaTheme="minorEastAsia"/>
          <w:b w:val="0"/>
          <w:bCs w:val="0"/>
          <w:color w:val="0D0D0D" w:themeColor="text1" w:themeTint="F2"/>
          <w:lang w:bidi="ar-SA"/>
        </w:rPr>
        <w:t>s</w:t>
      </w:r>
      <w:r w:rsidRPr="0F716E4C">
        <w:rPr>
          <w:rStyle w:val="Heading3Char"/>
          <w:rFonts w:ascii="Arial" w:hAnsi="Arial" w:cs="Arial" w:eastAsiaTheme="minorEastAsia"/>
          <w:b w:val="0"/>
          <w:bCs w:val="0"/>
          <w:color w:val="0D0D0D" w:themeColor="text1" w:themeTint="F2"/>
          <w:lang w:bidi="ar-SA"/>
        </w:rPr>
        <w:t xml:space="preserve"> disproportionate benefits to some of the largest financial institutions in the country.</w:t>
      </w:r>
    </w:p>
    <w:p w:rsidR="7C4215CA" w:rsidP="0F716E4C" w:rsidRDefault="7C4215CA" w14:paraId="732900E6" w14:textId="2B356BA2">
      <w:pPr>
        <w:pStyle w:val="ListParagraph"/>
        <w:numPr>
          <w:ilvl w:val="0"/>
          <w:numId w:val="1"/>
        </w:numPr>
        <w:spacing w:line="276" w:lineRule="auto"/>
        <w:ind w:left="360"/>
        <w:rPr>
          <w:rFonts w:ascii="Arial" w:hAnsi="Arial" w:eastAsia="MS Mincho" w:cs="Arial"/>
          <w:color w:val="0D0D0D" w:themeColor="text1" w:themeTint="F2"/>
        </w:rPr>
      </w:pPr>
      <w:r w:rsidRPr="0F716E4C">
        <w:rPr>
          <w:rFonts w:ascii="Arial" w:hAnsi="Arial" w:eastAsia="MS Mincho" w:cs="Arial"/>
          <w:color w:val="0D0D0D" w:themeColor="text1" w:themeTint="F2"/>
        </w:rPr>
        <w:t>ICBA continues our calls for Congress to advance legislation to address the 1071 statute.</w:t>
      </w:r>
    </w:p>
    <w:p w:rsidR="7C4215CA" w:rsidP="0F716E4C" w:rsidRDefault="7C4215CA" w14:paraId="006882D0" w14:textId="15CAF188">
      <w:pPr>
        <w:pStyle w:val="ListParagraph"/>
        <w:numPr>
          <w:ilvl w:val="0"/>
          <w:numId w:val="1"/>
        </w:numPr>
        <w:spacing w:line="276" w:lineRule="auto"/>
        <w:ind w:left="360"/>
        <w:rPr>
          <w:rFonts w:ascii="Arial" w:hAnsi="Arial" w:eastAsia="MS Mincho" w:cs="Arial"/>
          <w:color w:val="0D0D0D" w:themeColor="text1" w:themeTint="F2"/>
        </w:rPr>
      </w:pPr>
      <w:r w:rsidRPr="0F716E4C">
        <w:rPr>
          <w:rFonts w:ascii="Arial" w:hAnsi="Arial" w:eastAsia="MS Mincho" w:cs="Arial"/>
          <w:color w:val="0D0D0D" w:themeColor="text1" w:themeTint="F2"/>
        </w:rPr>
        <w:t xml:space="preserve">The </w:t>
      </w:r>
      <w:hyperlink r:id="rId11">
        <w:r w:rsidRPr="0F716E4C">
          <w:rPr>
            <w:rStyle w:val="Hyperlink"/>
            <w:rFonts w:ascii="Arial" w:hAnsi="Arial" w:eastAsia="MS Mincho" w:cs="Arial"/>
            <w:color w:val="0D0D0D" w:themeColor="text1" w:themeTint="F2"/>
            <w:u w:val="none"/>
          </w:rPr>
          <w:t>ICBA-supported</w:t>
        </w:r>
      </w:hyperlink>
      <w:r w:rsidRPr="0F716E4C">
        <w:rPr>
          <w:rFonts w:ascii="Arial" w:hAnsi="Arial" w:eastAsia="MS Mincho" w:cs="Arial"/>
          <w:color w:val="0D0D0D" w:themeColor="text1" w:themeTint="F2"/>
        </w:rPr>
        <w:t xml:space="preserve"> </w:t>
      </w:r>
      <w:r w:rsidRPr="0F716E4C">
        <w:rPr>
          <w:rFonts w:ascii="Arial" w:hAnsi="Arial" w:eastAsia="MS Mincho" w:cs="Arial"/>
          <w:b/>
          <w:bCs/>
          <w:color w:val="0D0D0D" w:themeColor="text1" w:themeTint="F2"/>
        </w:rPr>
        <w:t>1071 Repeal to Protect Small Business Lending Act (H.R. 976/S. 557</w:t>
      </w:r>
      <w:r w:rsidRPr="0F716E4C">
        <w:rPr>
          <w:rFonts w:ascii="Arial" w:hAnsi="Arial" w:eastAsia="MS Mincho" w:cs="Arial"/>
          <w:color w:val="0D0D0D" w:themeColor="text1" w:themeTint="F2"/>
        </w:rPr>
        <w:t xml:space="preserve">), introduced by House Small Business Committee Chairman Roger Williams (R-Texas) and Senate Banking Committee member John Kennedy (R-La.), would repeal the statute </w:t>
      </w:r>
      <w:r w:rsidRPr="0F716E4C">
        <w:rPr>
          <w:rFonts w:ascii="Arial" w:hAnsi="Arial" w:eastAsia="MS Mincho" w:cs="Arial"/>
          <w:color w:val="0D0D0D" w:themeColor="text1" w:themeTint="F2"/>
        </w:rPr>
        <w:lastRenderedPageBreak/>
        <w:t>that underlies the CFPB rule.</w:t>
      </w:r>
    </w:p>
    <w:p w:rsidR="7C4215CA" w:rsidP="0F716E4C" w:rsidRDefault="7C4215CA" w14:paraId="7F7367AA" w14:textId="746719FF">
      <w:pPr>
        <w:pStyle w:val="Body"/>
        <w:numPr>
          <w:ilvl w:val="0"/>
          <w:numId w:val="1"/>
        </w:numPr>
        <w:rPr>
          <w:rFonts w:eastAsia="MS Mincho"/>
          <w:color w:val="0D0D0D" w:themeColor="text1" w:themeTint="F2"/>
          <w:sz w:val="22"/>
          <w:szCs w:val="22"/>
        </w:rPr>
      </w:pPr>
      <w:r w:rsidRPr="0F716E4C">
        <w:rPr>
          <w:rFonts w:eastAsia="MS Mincho"/>
          <w:color w:val="0D0D0D" w:themeColor="text1" w:themeTint="F2"/>
          <w:sz w:val="22"/>
          <w:szCs w:val="22"/>
        </w:rPr>
        <w:t xml:space="preserve">Additionally, the ICBA-backed </w:t>
      </w:r>
      <w:r w:rsidRPr="0F716E4C">
        <w:rPr>
          <w:rFonts w:eastAsia="MS Mincho"/>
          <w:b/>
          <w:bCs/>
          <w:color w:val="0D0D0D" w:themeColor="text1" w:themeTint="F2"/>
          <w:sz w:val="22"/>
          <w:szCs w:val="22"/>
        </w:rPr>
        <w:t>Small LENDER Act (H.R. 941)</w:t>
      </w:r>
      <w:r w:rsidRPr="0F716E4C">
        <w:rPr>
          <w:rFonts w:eastAsia="MS Mincho"/>
          <w:color w:val="0D0D0D" w:themeColor="text1" w:themeTint="F2"/>
          <w:sz w:val="22"/>
          <w:szCs w:val="22"/>
        </w:rPr>
        <w:t xml:space="preserve">, introduced by House Financial Services Committee Chairman French Hill (R-Ark.) and recently advanced by the committee, and the </w:t>
      </w:r>
      <w:hyperlink r:id="rId12">
        <w:r w:rsidRPr="0F716E4C">
          <w:rPr>
            <w:rStyle w:val="Hyperlink"/>
            <w:rFonts w:eastAsia="MS Mincho"/>
            <w:b/>
            <w:bCs/>
            <w:color w:val="0D0D0D" w:themeColor="text1" w:themeTint="F2"/>
            <w:sz w:val="22"/>
            <w:szCs w:val="22"/>
            <w:u w:val="none"/>
          </w:rPr>
          <w:t xml:space="preserve">PROTECTED Act </w:t>
        </w:r>
      </w:hyperlink>
      <w:r w:rsidRPr="0F716E4C">
        <w:rPr>
          <w:rFonts w:eastAsia="MS Mincho"/>
          <w:b/>
          <w:bCs/>
          <w:color w:val="0D0D0D" w:themeColor="text1" w:themeTint="F2"/>
          <w:sz w:val="22"/>
          <w:szCs w:val="22"/>
        </w:rPr>
        <w:t xml:space="preserve">(S. 2352) </w:t>
      </w:r>
      <w:r w:rsidRPr="0F716E4C">
        <w:rPr>
          <w:rFonts w:eastAsia="MS Mincho"/>
          <w:color w:val="0D0D0D" w:themeColor="text1" w:themeTint="F2"/>
          <w:sz w:val="22"/>
          <w:szCs w:val="22"/>
        </w:rPr>
        <w:t xml:space="preserve">from Sens. Katie Britt (R-Ala.) and John Boozman (R-Ark.) would provide durable relief from the adverse impact of the rule on small businesses and community </w:t>
      </w:r>
      <w:r w:rsidRPr="0F716E4C" w:rsidR="00A67341">
        <w:rPr>
          <w:rFonts w:eastAsia="MS Mincho"/>
          <w:color w:val="0D0D0D" w:themeColor="text1" w:themeTint="F2"/>
          <w:sz w:val="22"/>
          <w:szCs w:val="22"/>
        </w:rPr>
        <w:t>banks.</w:t>
      </w:r>
    </w:p>
    <w:p w:rsidRPr="00727CFA" w:rsidR="0199E14F" w:rsidP="0199E14F" w:rsidRDefault="0199E14F" w14:paraId="3B71CA5A" w14:textId="6C3EDFCC">
      <w:pPr>
        <w:pStyle w:val="Body"/>
        <w:spacing w:after="0" w:line="240" w:lineRule="auto"/>
        <w:rPr>
          <w:rStyle w:val="Heading3Char"/>
          <w:rFonts w:ascii="Arial" w:hAnsi="Arial" w:eastAsia="Calibri" w:cs="Arial"/>
          <w:b w:val="0"/>
          <w:bCs w:val="0"/>
          <w:color w:val="0D0D0D" w:themeColor="text1" w:themeTint="F2"/>
          <w:sz w:val="24"/>
          <w:szCs w:val="24"/>
        </w:rPr>
      </w:pPr>
    </w:p>
    <w:p w:rsidR="0199E14F" w:rsidP="0199E14F" w:rsidRDefault="0199E14F" w14:paraId="5CEE39C0" w14:textId="1EABCFF5">
      <w:pPr>
        <w:pStyle w:val="Body"/>
        <w:spacing w:after="0" w:line="240" w:lineRule="auto"/>
        <w:rPr>
          <w:rStyle w:val="Heading3Char"/>
          <w:rFonts w:ascii="Arial" w:hAnsi="Arial" w:eastAsia="Calibri" w:cs="Arial"/>
          <w:b w:val="0"/>
          <w:bCs w:val="0"/>
          <w:color w:val="0D0D0D" w:themeColor="text1" w:themeTint="F2"/>
          <w:sz w:val="22"/>
          <w:szCs w:val="22"/>
        </w:rPr>
      </w:pPr>
    </w:p>
    <w:sectPr w:rsidR="0199E14F" w:rsidSect="00727CFA">
      <w:headerReference w:type="even" r:id="rId13"/>
      <w:headerReference w:type="default" r:id="rId14"/>
      <w:footerReference w:type="even" r:id="rId15"/>
      <w:footerReference w:type="default" r:id="rId16"/>
      <w:headerReference w:type="first" r:id="rId17"/>
      <w:footerReference w:type="first" r:id="rId18"/>
      <w:type w:val="continuous"/>
      <w:pgSz w:w="12240" w:h="15840" w:orient="portrait"/>
      <w:pgMar w:top="1440" w:right="1440" w:bottom="1440" w:left="1440" w:header="720" w:footer="720" w:gutter="0"/>
      <w:pgNumType w:start="1"/>
      <w:cols w:space="461"/>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427968" w:rsidP="00F04057" w:rsidRDefault="00427968" w14:paraId="54164D80" w14:textId="77777777">
      <w:r>
        <w:separator/>
      </w:r>
    </w:p>
    <w:p w:rsidR="00427968" w:rsidRDefault="00427968" w14:paraId="76A81AA9" w14:textId="77777777"/>
  </w:endnote>
  <w:endnote w:type="continuationSeparator" w:id="0">
    <w:p w:rsidR="00427968" w:rsidP="00F04057" w:rsidRDefault="00427968" w14:paraId="549BA43A" w14:textId="77777777">
      <w:r>
        <w:continuationSeparator/>
      </w:r>
    </w:p>
    <w:p w:rsidR="00427968" w:rsidRDefault="00427968" w14:paraId="71F81ED5" w14:textId="77777777"/>
  </w:endnote>
  <w:endnote w:type="continuationNotice" w:id="1">
    <w:p w:rsidR="00427968" w:rsidRDefault="00427968" w14:paraId="2F076D00"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MinionPro-Regular">
    <w:altName w:val="Calibri"/>
    <w:panose1 w:val="00000000000000000000"/>
    <w:charset w:val="4D"/>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12800799"/>
      <w:docPartObj>
        <w:docPartGallery w:val="Page Numbers (Bottom of Page)"/>
        <w:docPartUnique/>
      </w:docPartObj>
    </w:sdtPr>
    <w:sdtEndPr>
      <w:rPr>
        <w:rStyle w:val="PageNumber"/>
      </w:rPr>
    </w:sdtEndPr>
    <w:sdtContent>
      <w:p w:rsidR="0074747E" w:rsidRDefault="0074747E" w14:paraId="339915B5" w14:textId="77777777">
        <w:pPr>
          <w:framePr w:wrap="none" w:hAnchor="margin" w:vAnchor="text"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657A60">
          <w:rPr>
            <w:rStyle w:val="PageNumber"/>
            <w:noProof/>
          </w:rPr>
          <w:t>2</w:t>
        </w:r>
        <w:r>
          <w:rPr>
            <w:rStyle w:val="PageNumber"/>
          </w:rPr>
          <w:fldChar w:fldCharType="end"/>
        </w:r>
      </w:p>
    </w:sdtContent>
  </w:sdt>
  <w:sdt>
    <w:sdtPr>
      <w:rPr>
        <w:rStyle w:val="PageNumber"/>
      </w:rPr>
      <w:id w:val="-178892496"/>
      <w:docPartObj>
        <w:docPartGallery w:val="Page Numbers (Bottom of Page)"/>
        <w:docPartUnique/>
      </w:docPartObj>
    </w:sdtPr>
    <w:sdtEndPr>
      <w:rPr>
        <w:rStyle w:val="PageNumber"/>
      </w:rPr>
    </w:sdtEndPr>
    <w:sdtContent>
      <w:p w:rsidR="0074747E" w:rsidP="0074747E" w:rsidRDefault="0074747E" w14:paraId="12E2840B" w14:textId="77777777">
        <w:pPr>
          <w:framePr w:wrap="none" w:hAnchor="margin" w:vAnchor="text" w:xAlign="right" w:y="1"/>
          <w:ind w:right="360"/>
          <w:rPr>
            <w:rStyle w:val="PageNumber"/>
          </w:rPr>
        </w:pPr>
        <w:r>
          <w:rPr>
            <w:rStyle w:val="PageNumber"/>
          </w:rPr>
          <w:fldChar w:fldCharType="begin"/>
        </w:r>
        <w:r>
          <w:rPr>
            <w:rStyle w:val="PageNumber"/>
          </w:rPr>
          <w:instrText xml:space="preserve"> PAGE </w:instrText>
        </w:r>
        <w:r>
          <w:rPr>
            <w:rStyle w:val="PageNumber"/>
          </w:rPr>
          <w:fldChar w:fldCharType="separate"/>
        </w:r>
        <w:r w:rsidR="00657A60">
          <w:rPr>
            <w:rStyle w:val="PageNumber"/>
            <w:noProof/>
          </w:rPr>
          <w:t>2</w:t>
        </w:r>
        <w:r>
          <w:rPr>
            <w:rStyle w:val="PageNumber"/>
          </w:rPr>
          <w:fldChar w:fldCharType="end"/>
        </w:r>
      </w:p>
    </w:sdtContent>
  </w:sdt>
  <w:p w:rsidR="0074747E" w:rsidP="0074747E" w:rsidRDefault="0074747E" w14:paraId="16F051D2" w14:textId="77777777">
    <w:pPr>
      <w:ind w:right="360"/>
    </w:pPr>
  </w:p>
  <w:p w:rsidR="00E66AAE" w:rsidRDefault="00E66AAE" w14:paraId="1C7FA521"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Pr="00546CAE" w:rsidR="00F04057" w:rsidP="00546CAE" w:rsidRDefault="00546CAE" w14:paraId="4B6A72B9" w14:textId="77777777">
    <w:pPr>
      <w:pStyle w:val="Footer"/>
    </w:pPr>
    <w:r>
      <w:rPr>
        <w:noProof/>
      </w:rPr>
      <w:drawing>
        <wp:inline distT="0" distB="0" distL="0" distR="0" wp14:anchorId="3F372DD3" wp14:editId="42E5D58A">
          <wp:extent cx="6400800" cy="853440"/>
          <wp:effectExtent l="0" t="0" r="0" b="0"/>
          <wp:docPr id="1922629712" name="Picture 1922629712" descr="ICBA contact information foote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9957274" name="Picture 3" descr="ICBA contact information footer "/>
                  <pic:cNvPicPr/>
                </pic:nvPicPr>
                <pic:blipFill>
                  <a:blip r:embed="rId1">
                    <a:extLst>
                      <a:ext uri="{28A0092B-C50C-407E-A947-70E740481C1C}">
                        <a14:useLocalDpi xmlns:a14="http://schemas.microsoft.com/office/drawing/2010/main" val="0"/>
                      </a:ext>
                    </a:extLst>
                  </a:blip>
                  <a:stretch>
                    <a:fillRect/>
                  </a:stretch>
                </pic:blipFill>
                <pic:spPr>
                  <a:xfrm>
                    <a:off x="0" y="0"/>
                    <a:ext cx="6400800" cy="853440"/>
                  </a:xfrm>
                  <a:prstGeom prst="rect">
                    <a:avLst/>
                  </a:prstGeom>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Pr="008417DA" w:rsidR="00CD0AA8" w:rsidP="00546CAE" w:rsidRDefault="00FF0566" w14:paraId="029C0CE0" w14:textId="1E4BA63A">
    <w:pPr>
      <w:pStyle w:val="BasicParagraph"/>
      <w:tabs>
        <w:tab w:val="left" w:pos="720"/>
        <w:tab w:val="left" w:pos="1440"/>
        <w:tab w:val="left" w:pos="2160"/>
        <w:tab w:val="left" w:pos="2880"/>
        <w:tab w:val="left" w:pos="3600"/>
        <w:tab w:val="right" w:pos="8812"/>
      </w:tabs>
      <w:rPr>
        <w:rFonts w:ascii="Arial" w:hAnsi="Arial" w:cs="Arial"/>
        <w:color w:val="000000" w:themeColor="text1"/>
        <w:sz w:val="16"/>
        <w:szCs w:val="16"/>
      </w:rPr>
    </w:pPr>
    <w:r>
      <w:rPr>
        <w:noProof/>
      </w:rPr>
      <w:drawing>
        <wp:inline distT="0" distB="0" distL="0" distR="0" wp14:anchorId="5734D2C4" wp14:editId="12B1AF57">
          <wp:extent cx="6400800" cy="843713"/>
          <wp:effectExtent l="0" t="0" r="0" b="0"/>
          <wp:docPr id="1"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black background with a black square&#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00800" cy="843713"/>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427968" w:rsidP="00F04057" w:rsidRDefault="00427968" w14:paraId="6165072A" w14:textId="77777777">
      <w:r>
        <w:separator/>
      </w:r>
    </w:p>
    <w:p w:rsidR="00427968" w:rsidRDefault="00427968" w14:paraId="7BD0B6B0" w14:textId="77777777"/>
  </w:footnote>
  <w:footnote w:type="continuationSeparator" w:id="0">
    <w:p w:rsidR="00427968" w:rsidP="00F04057" w:rsidRDefault="00427968" w14:paraId="668CAC07" w14:textId="77777777">
      <w:r>
        <w:continuationSeparator/>
      </w:r>
    </w:p>
    <w:p w:rsidR="00427968" w:rsidRDefault="00427968" w14:paraId="3DB085AC" w14:textId="77777777"/>
  </w:footnote>
  <w:footnote w:type="continuationNotice" w:id="1">
    <w:p w:rsidR="00427968" w:rsidRDefault="00427968" w14:paraId="329EF853"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920109" w:rsidRDefault="00920109" w14:paraId="64485A6E" w14:textId="77777777">
    <w:pPr>
      <w:pStyle w:val="Header"/>
    </w:pPr>
  </w:p>
  <w:p w:rsidR="00E66AAE" w:rsidRDefault="00E66AAE" w14:paraId="46C22B2B"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920109" w:rsidRDefault="00920109" w14:paraId="48B54239" w14:textId="77777777">
    <w:pPr>
      <w:pStyle w:val="Header"/>
    </w:pPr>
  </w:p>
  <w:p w:rsidR="00E66AAE" w:rsidRDefault="00E66AAE" w14:paraId="6CBA6A4F"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CD0AA8" w:rsidRDefault="00225913" w14:paraId="5B21B299" w14:textId="74D19A7E">
    <w:r>
      <w:rPr>
        <w:noProof/>
      </w:rPr>
      <mc:AlternateContent>
        <mc:Choice Requires="wps">
          <w:drawing>
            <wp:anchor distT="0" distB="0" distL="114300" distR="114300" simplePos="0" relativeHeight="251658240" behindDoc="0" locked="0" layoutInCell="1" allowOverlap="1" wp14:anchorId="2820CFA2" wp14:editId="0786789B">
              <wp:simplePos x="0" y="0"/>
              <wp:positionH relativeFrom="column">
                <wp:posOffset>0</wp:posOffset>
              </wp:positionH>
              <wp:positionV relativeFrom="paragraph">
                <wp:posOffset>685800</wp:posOffset>
              </wp:positionV>
              <wp:extent cx="6400800" cy="38100"/>
              <wp:effectExtent l="0" t="0" r="19050" b="19050"/>
              <wp:wrapNone/>
              <wp:docPr id="682032933" name="Straight Connector 1"/>
              <wp:cNvGraphicFramePr/>
              <a:graphic xmlns:a="http://schemas.openxmlformats.org/drawingml/2006/main">
                <a:graphicData uri="http://schemas.microsoft.com/office/word/2010/wordprocessingShape">
                  <wps:wsp>
                    <wps:cNvCnPr/>
                    <wps:spPr>
                      <a:xfrm>
                        <a:off x="0" y="0"/>
                        <a:ext cx="6400800" cy="3810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1" style="position:absolute;z-index:251658240;visibility:visible;mso-wrap-style:square;mso-wrap-distance-left:9pt;mso-wrap-distance-top:0;mso-wrap-distance-right:9pt;mso-wrap-distance-bottom:0;mso-position-horizontal:absolute;mso-position-horizontal-relative:text;mso-position-vertical:absolute;mso-position-vertical-relative:text" o:spid="_x0000_s1026" strokecolor="#4579b8 [3044]" from="0,54pt" to="7in,57pt" w14:anchorId="636A1D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"/>
          </w:pict>
        </mc:Fallback>
      </mc:AlternateContent>
    </w:r>
    <w:r w:rsidR="00546CAE">
      <w:rPr>
        <w:noProof/>
      </w:rPr>
      <w:drawing>
        <wp:inline distT="0" distB="0" distL="0" distR="0" wp14:anchorId="063DD977" wp14:editId="0DCC64E7">
          <wp:extent cx="4146550" cy="853440"/>
          <wp:effectExtent l="0" t="0" r="0" b="0"/>
          <wp:docPr id="795863665" name="Picture 7958636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5863665" name="Picture 795863665"/>
                  <pic:cNvPicPr/>
                </pic:nvPicPr>
                <pic:blipFill rotWithShape="1">
                  <a:blip r:embed="rId1">
                    <a:extLst>
                      <a:ext uri="{28A0092B-C50C-407E-A947-70E740481C1C}">
                        <a14:useLocalDpi xmlns:a14="http://schemas.microsoft.com/office/drawing/2010/main" val="0"/>
                      </a:ext>
                    </a:extLst>
                  </a:blip>
                  <a:srcRect r="35218"/>
                  <a:stretch/>
                </pic:blipFill>
                <pic:spPr bwMode="auto">
                  <a:xfrm>
                    <a:off x="0" y="0"/>
                    <a:ext cx="4146550" cy="853440"/>
                  </a:xfrm>
                  <a:prstGeom prst="rect">
                    <a:avLst/>
                  </a:prstGeom>
                  <a:ln>
                    <a:noFill/>
                  </a:ln>
                  <a:extLst>
                    <a:ext uri="{53640926-AAD7-44D8-BBD7-CCE9431645EC}">
                      <a14:shadowObscured xmlns:a14="http://schemas.microsoft.com/office/drawing/2010/main"/>
                    </a:ext>
                  </a:extLst>
                </pic:spPr>
              </pic:pic>
            </a:graphicData>
          </a:graphic>
        </wp:inline>
      </w:drawing>
    </w:r>
  </w:p>
</w:hdr>
</file>

<file path=word/intelligence2.xml><?xml version="1.0" encoding="utf-8"?>
<int2:intelligence xmlns:int2="http://schemas.microsoft.com/office/intelligence/2020/intelligence" xmlns:oel="http://schemas.microsoft.com/office/2019/extlst">
  <int2:observations>
    <int2:bookmark int2:bookmarkName="_Int_q8EcMlAc" int2:invalidationBookmarkName="" int2:hashCode="L0KpNrfM2apXBE" int2:id="MCJivA38">
      <int2:state int2:type="AugLoop_Text_Critique" int2:value="Rejected"/>
    </int2:bookmark>
    <int2:bookmark int2:bookmarkName="_Int_fNbYulKs" int2:invalidationBookmarkName="" int2:hashCode="L0KpNrfM2apXBE" int2:id="m97EVeta">
      <int2:state int2:type="AugLoop_Text_Critique" int2:value="Rejected"/>
    </int2:bookmark>
    <int2:bookmark int2:bookmarkName="_Int_86aqyJ7T" int2:invalidationBookmarkName="" int2:hashCode="2k37mxvnKPwHq9" int2:id="YPTr3SyF">
      <int2:state int2:type="style" int2:value="Rejected"/>
    </int2:bookmark>
    <int2:bookmark int2:bookmarkName="_Int_8EQjp3Z8" int2:invalidationBookmarkName="" int2:hashCode="exT+kMEcn+1n/L" int2:id="oM5QHtWY">
      <int2:state int2:type="gram" int2:value="Rejected"/>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A1C2A"/>
    <w:multiLevelType w:val="multilevel"/>
    <w:tmpl w:val="E6E21D6C"/>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ind w:left="1440" w:hanging="360"/>
      </w:pPr>
      <w:rPr>
        <w:rFonts w:hint="default" w:ascii="Courier New" w:hAnsi="Courier New"/>
      </w:rPr>
    </w:lvl>
    <w:lvl w:ilvl="2">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 w15:restartNumberingAfterBreak="0">
    <w:nsid w:val="18FF1F6B"/>
    <w:multiLevelType w:val="hybridMultilevel"/>
    <w:tmpl w:val="ECDA2E5A"/>
    <w:lvl w:ilvl="0" w:tplc="04090001">
      <w:start w:val="1"/>
      <w:numFmt w:val="bullet"/>
      <w:lvlText w:val=""/>
      <w:lvlJc w:val="left"/>
      <w:pPr>
        <w:ind w:left="1800" w:hanging="360"/>
      </w:pPr>
      <w:rPr>
        <w:rFonts w:hint="default" w:ascii="Symbol" w:hAnsi="Symbol"/>
      </w:rPr>
    </w:lvl>
    <w:lvl w:ilvl="1" w:tplc="04090003">
      <w:start w:val="1"/>
      <w:numFmt w:val="bullet"/>
      <w:lvlText w:val="o"/>
      <w:lvlJc w:val="left"/>
      <w:pPr>
        <w:ind w:left="2520" w:hanging="360"/>
      </w:pPr>
      <w:rPr>
        <w:rFonts w:hint="default" w:ascii="Courier New" w:hAnsi="Courier New" w:cs="Courier New"/>
      </w:rPr>
    </w:lvl>
    <w:lvl w:ilvl="2" w:tplc="04090005" w:tentative="1">
      <w:start w:val="1"/>
      <w:numFmt w:val="bullet"/>
      <w:lvlText w:val=""/>
      <w:lvlJc w:val="left"/>
      <w:pPr>
        <w:ind w:left="3240" w:hanging="360"/>
      </w:pPr>
      <w:rPr>
        <w:rFonts w:hint="default" w:ascii="Wingdings" w:hAnsi="Wingdings"/>
      </w:rPr>
    </w:lvl>
    <w:lvl w:ilvl="3" w:tplc="04090001" w:tentative="1">
      <w:start w:val="1"/>
      <w:numFmt w:val="bullet"/>
      <w:lvlText w:val=""/>
      <w:lvlJc w:val="left"/>
      <w:pPr>
        <w:ind w:left="3960" w:hanging="360"/>
      </w:pPr>
      <w:rPr>
        <w:rFonts w:hint="default" w:ascii="Symbol" w:hAnsi="Symbol"/>
      </w:rPr>
    </w:lvl>
    <w:lvl w:ilvl="4" w:tplc="04090003" w:tentative="1">
      <w:start w:val="1"/>
      <w:numFmt w:val="bullet"/>
      <w:lvlText w:val="o"/>
      <w:lvlJc w:val="left"/>
      <w:pPr>
        <w:ind w:left="4680" w:hanging="360"/>
      </w:pPr>
      <w:rPr>
        <w:rFonts w:hint="default" w:ascii="Courier New" w:hAnsi="Courier New" w:cs="Courier New"/>
      </w:rPr>
    </w:lvl>
    <w:lvl w:ilvl="5" w:tplc="04090005" w:tentative="1">
      <w:start w:val="1"/>
      <w:numFmt w:val="bullet"/>
      <w:lvlText w:val=""/>
      <w:lvlJc w:val="left"/>
      <w:pPr>
        <w:ind w:left="5400" w:hanging="360"/>
      </w:pPr>
      <w:rPr>
        <w:rFonts w:hint="default" w:ascii="Wingdings" w:hAnsi="Wingdings"/>
      </w:rPr>
    </w:lvl>
    <w:lvl w:ilvl="6" w:tplc="04090001" w:tentative="1">
      <w:start w:val="1"/>
      <w:numFmt w:val="bullet"/>
      <w:lvlText w:val=""/>
      <w:lvlJc w:val="left"/>
      <w:pPr>
        <w:ind w:left="6120" w:hanging="360"/>
      </w:pPr>
      <w:rPr>
        <w:rFonts w:hint="default" w:ascii="Symbol" w:hAnsi="Symbol"/>
      </w:rPr>
    </w:lvl>
    <w:lvl w:ilvl="7" w:tplc="04090003" w:tentative="1">
      <w:start w:val="1"/>
      <w:numFmt w:val="bullet"/>
      <w:lvlText w:val="o"/>
      <w:lvlJc w:val="left"/>
      <w:pPr>
        <w:ind w:left="6840" w:hanging="360"/>
      </w:pPr>
      <w:rPr>
        <w:rFonts w:hint="default" w:ascii="Courier New" w:hAnsi="Courier New" w:cs="Courier New"/>
      </w:rPr>
    </w:lvl>
    <w:lvl w:ilvl="8" w:tplc="04090005" w:tentative="1">
      <w:start w:val="1"/>
      <w:numFmt w:val="bullet"/>
      <w:lvlText w:val=""/>
      <w:lvlJc w:val="left"/>
      <w:pPr>
        <w:ind w:left="7560" w:hanging="360"/>
      </w:pPr>
      <w:rPr>
        <w:rFonts w:hint="default" w:ascii="Wingdings" w:hAnsi="Wingdings"/>
      </w:rPr>
    </w:lvl>
  </w:abstractNum>
  <w:abstractNum w:abstractNumId="2" w15:restartNumberingAfterBreak="0">
    <w:nsid w:val="1A950E3A"/>
    <w:multiLevelType w:val="hybridMultilevel"/>
    <w:tmpl w:val="138C238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 w15:restartNumberingAfterBreak="0">
    <w:nsid w:val="2A5C3405"/>
    <w:multiLevelType w:val="hybridMultilevel"/>
    <w:tmpl w:val="0DEEDB96"/>
    <w:lvl w:ilvl="0" w:tplc="C57A6302">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 w15:restartNumberingAfterBreak="0">
    <w:nsid w:val="311E18A9"/>
    <w:multiLevelType w:val="hybridMultilevel"/>
    <w:tmpl w:val="5CEEAB58"/>
    <w:lvl w:ilvl="0" w:tplc="04090001">
      <w:start w:val="1"/>
      <w:numFmt w:val="bullet"/>
      <w:lvlText w:val=""/>
      <w:lvlJc w:val="left"/>
      <w:pPr>
        <w:ind w:left="1440" w:hanging="360"/>
      </w:pPr>
      <w:rPr>
        <w:rFonts w:hint="default" w:ascii="Symbol" w:hAnsi="Symbol"/>
      </w:rPr>
    </w:lvl>
    <w:lvl w:ilvl="1" w:tplc="04090003">
      <w:start w:val="1"/>
      <w:numFmt w:val="bullet"/>
      <w:lvlText w:val="o"/>
      <w:lvlJc w:val="left"/>
      <w:pPr>
        <w:ind w:left="2160" w:hanging="360"/>
      </w:pPr>
      <w:rPr>
        <w:rFonts w:hint="default" w:ascii="Courier New" w:hAnsi="Courier New" w:cs="Courier New"/>
      </w:rPr>
    </w:lvl>
    <w:lvl w:ilvl="2" w:tplc="04090005">
      <w:start w:val="1"/>
      <w:numFmt w:val="bullet"/>
      <w:lvlText w:val=""/>
      <w:lvlJc w:val="left"/>
      <w:pPr>
        <w:ind w:left="2880" w:hanging="360"/>
      </w:pPr>
      <w:rPr>
        <w:rFonts w:hint="default" w:ascii="Wingdings" w:hAnsi="Wingdings"/>
      </w:rPr>
    </w:lvl>
    <w:lvl w:ilvl="3" w:tplc="04090001">
      <w:start w:val="1"/>
      <w:numFmt w:val="bullet"/>
      <w:lvlText w:val=""/>
      <w:lvlJc w:val="left"/>
      <w:pPr>
        <w:ind w:left="3600" w:hanging="360"/>
      </w:pPr>
      <w:rPr>
        <w:rFonts w:hint="default" w:ascii="Symbol" w:hAnsi="Symbol"/>
      </w:rPr>
    </w:lvl>
    <w:lvl w:ilvl="4" w:tplc="04090003">
      <w:start w:val="1"/>
      <w:numFmt w:val="bullet"/>
      <w:lvlText w:val="o"/>
      <w:lvlJc w:val="left"/>
      <w:pPr>
        <w:ind w:left="4320" w:hanging="360"/>
      </w:pPr>
      <w:rPr>
        <w:rFonts w:hint="default" w:ascii="Courier New" w:hAnsi="Courier New" w:cs="Courier New"/>
      </w:rPr>
    </w:lvl>
    <w:lvl w:ilvl="5" w:tplc="04090005">
      <w:start w:val="1"/>
      <w:numFmt w:val="bullet"/>
      <w:lvlText w:val=""/>
      <w:lvlJc w:val="left"/>
      <w:pPr>
        <w:ind w:left="5040" w:hanging="360"/>
      </w:pPr>
      <w:rPr>
        <w:rFonts w:hint="default" w:ascii="Wingdings" w:hAnsi="Wingdings"/>
      </w:rPr>
    </w:lvl>
    <w:lvl w:ilvl="6" w:tplc="04090001">
      <w:start w:val="1"/>
      <w:numFmt w:val="bullet"/>
      <w:lvlText w:val=""/>
      <w:lvlJc w:val="left"/>
      <w:pPr>
        <w:ind w:left="5760" w:hanging="360"/>
      </w:pPr>
      <w:rPr>
        <w:rFonts w:hint="default" w:ascii="Symbol" w:hAnsi="Symbol"/>
      </w:rPr>
    </w:lvl>
    <w:lvl w:ilvl="7" w:tplc="04090003">
      <w:start w:val="1"/>
      <w:numFmt w:val="bullet"/>
      <w:lvlText w:val="o"/>
      <w:lvlJc w:val="left"/>
      <w:pPr>
        <w:ind w:left="6480" w:hanging="360"/>
      </w:pPr>
      <w:rPr>
        <w:rFonts w:hint="default" w:ascii="Courier New" w:hAnsi="Courier New" w:cs="Courier New"/>
      </w:rPr>
    </w:lvl>
    <w:lvl w:ilvl="8" w:tplc="04090005">
      <w:start w:val="1"/>
      <w:numFmt w:val="bullet"/>
      <w:lvlText w:val=""/>
      <w:lvlJc w:val="left"/>
      <w:pPr>
        <w:ind w:left="7200" w:hanging="360"/>
      </w:pPr>
      <w:rPr>
        <w:rFonts w:hint="default" w:ascii="Wingdings" w:hAnsi="Wingdings"/>
      </w:rPr>
    </w:lvl>
  </w:abstractNum>
  <w:abstractNum w:abstractNumId="5" w15:restartNumberingAfterBreak="0">
    <w:nsid w:val="31CA5D58"/>
    <w:multiLevelType w:val="hybridMultilevel"/>
    <w:tmpl w:val="D5B889D6"/>
    <w:lvl w:ilvl="0" w:tplc="70084A26">
      <w:start w:val="1"/>
      <w:numFmt w:val="bullet"/>
      <w:lvlText w:val="·"/>
      <w:lvlJc w:val="left"/>
      <w:pPr>
        <w:ind w:left="720" w:hanging="360"/>
      </w:pPr>
      <w:rPr>
        <w:rFonts w:hint="default" w:ascii="Symbol" w:hAnsi="Symbol"/>
      </w:rPr>
    </w:lvl>
    <w:lvl w:ilvl="1" w:tplc="2B664722">
      <w:start w:val="1"/>
      <w:numFmt w:val="bullet"/>
      <w:lvlText w:val="o"/>
      <w:lvlJc w:val="left"/>
      <w:pPr>
        <w:ind w:left="1440" w:hanging="360"/>
      </w:pPr>
      <w:rPr>
        <w:rFonts w:hint="default" w:ascii="Courier New" w:hAnsi="Courier New"/>
      </w:rPr>
    </w:lvl>
    <w:lvl w:ilvl="2" w:tplc="52A4D556">
      <w:start w:val="1"/>
      <w:numFmt w:val="bullet"/>
      <w:lvlText w:val=""/>
      <w:lvlJc w:val="left"/>
      <w:pPr>
        <w:ind w:left="2160" w:hanging="360"/>
      </w:pPr>
      <w:rPr>
        <w:rFonts w:hint="default" w:ascii="Wingdings" w:hAnsi="Wingdings"/>
      </w:rPr>
    </w:lvl>
    <w:lvl w:ilvl="3" w:tplc="E1EA5BD2">
      <w:start w:val="1"/>
      <w:numFmt w:val="bullet"/>
      <w:lvlText w:val=""/>
      <w:lvlJc w:val="left"/>
      <w:pPr>
        <w:ind w:left="2880" w:hanging="360"/>
      </w:pPr>
      <w:rPr>
        <w:rFonts w:hint="default" w:ascii="Symbol" w:hAnsi="Symbol"/>
      </w:rPr>
    </w:lvl>
    <w:lvl w:ilvl="4" w:tplc="D9C271FC">
      <w:start w:val="1"/>
      <w:numFmt w:val="bullet"/>
      <w:lvlText w:val="o"/>
      <w:lvlJc w:val="left"/>
      <w:pPr>
        <w:ind w:left="3600" w:hanging="360"/>
      </w:pPr>
      <w:rPr>
        <w:rFonts w:hint="default" w:ascii="Courier New" w:hAnsi="Courier New"/>
      </w:rPr>
    </w:lvl>
    <w:lvl w:ilvl="5" w:tplc="369A0EE4">
      <w:start w:val="1"/>
      <w:numFmt w:val="bullet"/>
      <w:lvlText w:val=""/>
      <w:lvlJc w:val="left"/>
      <w:pPr>
        <w:ind w:left="4320" w:hanging="360"/>
      </w:pPr>
      <w:rPr>
        <w:rFonts w:hint="default" w:ascii="Wingdings" w:hAnsi="Wingdings"/>
      </w:rPr>
    </w:lvl>
    <w:lvl w:ilvl="6" w:tplc="7D0CB474">
      <w:start w:val="1"/>
      <w:numFmt w:val="bullet"/>
      <w:lvlText w:val=""/>
      <w:lvlJc w:val="left"/>
      <w:pPr>
        <w:ind w:left="5040" w:hanging="360"/>
      </w:pPr>
      <w:rPr>
        <w:rFonts w:hint="default" w:ascii="Symbol" w:hAnsi="Symbol"/>
      </w:rPr>
    </w:lvl>
    <w:lvl w:ilvl="7" w:tplc="370A0C18">
      <w:start w:val="1"/>
      <w:numFmt w:val="bullet"/>
      <w:lvlText w:val="o"/>
      <w:lvlJc w:val="left"/>
      <w:pPr>
        <w:ind w:left="5760" w:hanging="360"/>
      </w:pPr>
      <w:rPr>
        <w:rFonts w:hint="default" w:ascii="Courier New" w:hAnsi="Courier New"/>
      </w:rPr>
    </w:lvl>
    <w:lvl w:ilvl="8" w:tplc="61D0FB9A">
      <w:start w:val="1"/>
      <w:numFmt w:val="bullet"/>
      <w:lvlText w:val=""/>
      <w:lvlJc w:val="left"/>
      <w:pPr>
        <w:ind w:left="6480" w:hanging="360"/>
      </w:pPr>
      <w:rPr>
        <w:rFonts w:hint="default" w:ascii="Wingdings" w:hAnsi="Wingdings"/>
      </w:rPr>
    </w:lvl>
  </w:abstractNum>
  <w:abstractNum w:abstractNumId="6" w15:restartNumberingAfterBreak="0">
    <w:nsid w:val="34F9719B"/>
    <w:multiLevelType w:val="hybridMultilevel"/>
    <w:tmpl w:val="0AEC4E6C"/>
    <w:lvl w:ilvl="0" w:tplc="04090003">
      <w:start w:val="1"/>
      <w:numFmt w:val="bullet"/>
      <w:lvlText w:val="o"/>
      <w:lvlJc w:val="left"/>
      <w:pPr>
        <w:ind w:left="1440" w:hanging="360"/>
      </w:pPr>
      <w:rPr>
        <w:rFonts w:hint="default" w:ascii="Courier New" w:hAnsi="Courier New" w:cs="Courier New"/>
      </w:rPr>
    </w:lvl>
    <w:lvl w:ilvl="1" w:tplc="04090003" w:tentative="1">
      <w:start w:val="1"/>
      <w:numFmt w:val="bullet"/>
      <w:lvlText w:val="o"/>
      <w:lvlJc w:val="left"/>
      <w:pPr>
        <w:ind w:left="2160" w:hanging="360"/>
      </w:pPr>
      <w:rPr>
        <w:rFonts w:hint="default" w:ascii="Courier New" w:hAnsi="Courier New" w:cs="Courier New"/>
      </w:rPr>
    </w:lvl>
    <w:lvl w:ilvl="2" w:tplc="04090005" w:tentative="1">
      <w:start w:val="1"/>
      <w:numFmt w:val="bullet"/>
      <w:lvlText w:val=""/>
      <w:lvlJc w:val="left"/>
      <w:pPr>
        <w:ind w:left="2880" w:hanging="360"/>
      </w:pPr>
      <w:rPr>
        <w:rFonts w:hint="default" w:ascii="Wingdings" w:hAnsi="Wingdings"/>
      </w:rPr>
    </w:lvl>
    <w:lvl w:ilvl="3" w:tplc="04090001" w:tentative="1">
      <w:start w:val="1"/>
      <w:numFmt w:val="bullet"/>
      <w:lvlText w:val=""/>
      <w:lvlJc w:val="left"/>
      <w:pPr>
        <w:ind w:left="3600" w:hanging="360"/>
      </w:pPr>
      <w:rPr>
        <w:rFonts w:hint="default" w:ascii="Symbol" w:hAnsi="Symbol"/>
      </w:rPr>
    </w:lvl>
    <w:lvl w:ilvl="4" w:tplc="04090003" w:tentative="1">
      <w:start w:val="1"/>
      <w:numFmt w:val="bullet"/>
      <w:lvlText w:val="o"/>
      <w:lvlJc w:val="left"/>
      <w:pPr>
        <w:ind w:left="4320" w:hanging="360"/>
      </w:pPr>
      <w:rPr>
        <w:rFonts w:hint="default" w:ascii="Courier New" w:hAnsi="Courier New" w:cs="Courier New"/>
      </w:rPr>
    </w:lvl>
    <w:lvl w:ilvl="5" w:tplc="04090005" w:tentative="1">
      <w:start w:val="1"/>
      <w:numFmt w:val="bullet"/>
      <w:lvlText w:val=""/>
      <w:lvlJc w:val="left"/>
      <w:pPr>
        <w:ind w:left="5040" w:hanging="360"/>
      </w:pPr>
      <w:rPr>
        <w:rFonts w:hint="default" w:ascii="Wingdings" w:hAnsi="Wingdings"/>
      </w:rPr>
    </w:lvl>
    <w:lvl w:ilvl="6" w:tplc="04090001" w:tentative="1">
      <w:start w:val="1"/>
      <w:numFmt w:val="bullet"/>
      <w:lvlText w:val=""/>
      <w:lvlJc w:val="left"/>
      <w:pPr>
        <w:ind w:left="5760" w:hanging="360"/>
      </w:pPr>
      <w:rPr>
        <w:rFonts w:hint="default" w:ascii="Symbol" w:hAnsi="Symbol"/>
      </w:rPr>
    </w:lvl>
    <w:lvl w:ilvl="7" w:tplc="04090003" w:tentative="1">
      <w:start w:val="1"/>
      <w:numFmt w:val="bullet"/>
      <w:lvlText w:val="o"/>
      <w:lvlJc w:val="left"/>
      <w:pPr>
        <w:ind w:left="6480" w:hanging="360"/>
      </w:pPr>
      <w:rPr>
        <w:rFonts w:hint="default" w:ascii="Courier New" w:hAnsi="Courier New" w:cs="Courier New"/>
      </w:rPr>
    </w:lvl>
    <w:lvl w:ilvl="8" w:tplc="04090005" w:tentative="1">
      <w:start w:val="1"/>
      <w:numFmt w:val="bullet"/>
      <w:lvlText w:val=""/>
      <w:lvlJc w:val="left"/>
      <w:pPr>
        <w:ind w:left="7200" w:hanging="360"/>
      </w:pPr>
      <w:rPr>
        <w:rFonts w:hint="default" w:ascii="Wingdings" w:hAnsi="Wingdings"/>
      </w:rPr>
    </w:lvl>
  </w:abstractNum>
  <w:abstractNum w:abstractNumId="7" w15:restartNumberingAfterBreak="0">
    <w:nsid w:val="377ED655"/>
    <w:multiLevelType w:val="hybridMultilevel"/>
    <w:tmpl w:val="40F2F128"/>
    <w:lvl w:ilvl="0" w:tplc="3048B46E">
      <w:start w:val="1"/>
      <w:numFmt w:val="bullet"/>
      <w:lvlText w:val="·"/>
      <w:lvlJc w:val="left"/>
      <w:pPr>
        <w:ind w:left="720" w:hanging="360"/>
      </w:pPr>
      <w:rPr>
        <w:rFonts w:hint="default" w:ascii="Symbol" w:hAnsi="Symbol"/>
      </w:rPr>
    </w:lvl>
    <w:lvl w:ilvl="1" w:tplc="540A6E2A">
      <w:start w:val="1"/>
      <w:numFmt w:val="bullet"/>
      <w:lvlText w:val="o"/>
      <w:lvlJc w:val="left"/>
      <w:pPr>
        <w:ind w:left="1440" w:hanging="360"/>
      </w:pPr>
      <w:rPr>
        <w:rFonts w:hint="default" w:ascii="Courier New" w:hAnsi="Courier New"/>
      </w:rPr>
    </w:lvl>
    <w:lvl w:ilvl="2" w:tplc="D64A83A2">
      <w:start w:val="1"/>
      <w:numFmt w:val="bullet"/>
      <w:lvlText w:val=""/>
      <w:lvlJc w:val="left"/>
      <w:pPr>
        <w:ind w:left="2160" w:hanging="360"/>
      </w:pPr>
      <w:rPr>
        <w:rFonts w:hint="default" w:ascii="Wingdings" w:hAnsi="Wingdings"/>
      </w:rPr>
    </w:lvl>
    <w:lvl w:ilvl="3" w:tplc="705E4816">
      <w:start w:val="1"/>
      <w:numFmt w:val="bullet"/>
      <w:lvlText w:val=""/>
      <w:lvlJc w:val="left"/>
      <w:pPr>
        <w:ind w:left="2880" w:hanging="360"/>
      </w:pPr>
      <w:rPr>
        <w:rFonts w:hint="default" w:ascii="Symbol" w:hAnsi="Symbol"/>
      </w:rPr>
    </w:lvl>
    <w:lvl w:ilvl="4" w:tplc="D8C0E336">
      <w:start w:val="1"/>
      <w:numFmt w:val="bullet"/>
      <w:lvlText w:val="o"/>
      <w:lvlJc w:val="left"/>
      <w:pPr>
        <w:ind w:left="3600" w:hanging="360"/>
      </w:pPr>
      <w:rPr>
        <w:rFonts w:hint="default" w:ascii="Courier New" w:hAnsi="Courier New"/>
      </w:rPr>
    </w:lvl>
    <w:lvl w:ilvl="5" w:tplc="482E9E5A">
      <w:start w:val="1"/>
      <w:numFmt w:val="bullet"/>
      <w:lvlText w:val=""/>
      <w:lvlJc w:val="left"/>
      <w:pPr>
        <w:ind w:left="4320" w:hanging="360"/>
      </w:pPr>
      <w:rPr>
        <w:rFonts w:hint="default" w:ascii="Wingdings" w:hAnsi="Wingdings"/>
      </w:rPr>
    </w:lvl>
    <w:lvl w:ilvl="6" w:tplc="7736AF36">
      <w:start w:val="1"/>
      <w:numFmt w:val="bullet"/>
      <w:lvlText w:val=""/>
      <w:lvlJc w:val="left"/>
      <w:pPr>
        <w:ind w:left="5040" w:hanging="360"/>
      </w:pPr>
      <w:rPr>
        <w:rFonts w:hint="default" w:ascii="Symbol" w:hAnsi="Symbol"/>
      </w:rPr>
    </w:lvl>
    <w:lvl w:ilvl="7" w:tplc="3E327630">
      <w:start w:val="1"/>
      <w:numFmt w:val="bullet"/>
      <w:lvlText w:val="o"/>
      <w:lvlJc w:val="left"/>
      <w:pPr>
        <w:ind w:left="5760" w:hanging="360"/>
      </w:pPr>
      <w:rPr>
        <w:rFonts w:hint="default" w:ascii="Courier New" w:hAnsi="Courier New"/>
      </w:rPr>
    </w:lvl>
    <w:lvl w:ilvl="8" w:tplc="74044E52">
      <w:start w:val="1"/>
      <w:numFmt w:val="bullet"/>
      <w:lvlText w:val=""/>
      <w:lvlJc w:val="left"/>
      <w:pPr>
        <w:ind w:left="6480" w:hanging="360"/>
      </w:pPr>
      <w:rPr>
        <w:rFonts w:hint="default" w:ascii="Wingdings" w:hAnsi="Wingdings"/>
      </w:rPr>
    </w:lvl>
  </w:abstractNum>
  <w:abstractNum w:abstractNumId="8" w15:restartNumberingAfterBreak="0">
    <w:nsid w:val="47636D4A"/>
    <w:multiLevelType w:val="hybridMultilevel"/>
    <w:tmpl w:val="F4A022F4"/>
    <w:lvl w:ilvl="0" w:tplc="04090003">
      <w:start w:val="1"/>
      <w:numFmt w:val="bullet"/>
      <w:lvlText w:val="o"/>
      <w:lvlJc w:val="left"/>
      <w:pPr>
        <w:ind w:left="1440" w:hanging="360"/>
      </w:pPr>
      <w:rPr>
        <w:rFonts w:hint="default" w:ascii="Courier New" w:hAnsi="Courier New" w:cs="Courier New"/>
      </w:rPr>
    </w:lvl>
    <w:lvl w:ilvl="1" w:tplc="04090003" w:tentative="1">
      <w:start w:val="1"/>
      <w:numFmt w:val="bullet"/>
      <w:lvlText w:val="o"/>
      <w:lvlJc w:val="left"/>
      <w:pPr>
        <w:ind w:left="2160" w:hanging="360"/>
      </w:pPr>
      <w:rPr>
        <w:rFonts w:hint="default" w:ascii="Courier New" w:hAnsi="Courier New" w:cs="Courier New"/>
      </w:rPr>
    </w:lvl>
    <w:lvl w:ilvl="2" w:tplc="04090005" w:tentative="1">
      <w:start w:val="1"/>
      <w:numFmt w:val="bullet"/>
      <w:lvlText w:val=""/>
      <w:lvlJc w:val="left"/>
      <w:pPr>
        <w:ind w:left="2880" w:hanging="360"/>
      </w:pPr>
      <w:rPr>
        <w:rFonts w:hint="default" w:ascii="Wingdings" w:hAnsi="Wingdings"/>
      </w:rPr>
    </w:lvl>
    <w:lvl w:ilvl="3" w:tplc="04090001" w:tentative="1">
      <w:start w:val="1"/>
      <w:numFmt w:val="bullet"/>
      <w:lvlText w:val=""/>
      <w:lvlJc w:val="left"/>
      <w:pPr>
        <w:ind w:left="3600" w:hanging="360"/>
      </w:pPr>
      <w:rPr>
        <w:rFonts w:hint="default" w:ascii="Symbol" w:hAnsi="Symbol"/>
      </w:rPr>
    </w:lvl>
    <w:lvl w:ilvl="4" w:tplc="04090003" w:tentative="1">
      <w:start w:val="1"/>
      <w:numFmt w:val="bullet"/>
      <w:lvlText w:val="o"/>
      <w:lvlJc w:val="left"/>
      <w:pPr>
        <w:ind w:left="4320" w:hanging="360"/>
      </w:pPr>
      <w:rPr>
        <w:rFonts w:hint="default" w:ascii="Courier New" w:hAnsi="Courier New" w:cs="Courier New"/>
      </w:rPr>
    </w:lvl>
    <w:lvl w:ilvl="5" w:tplc="04090005" w:tentative="1">
      <w:start w:val="1"/>
      <w:numFmt w:val="bullet"/>
      <w:lvlText w:val=""/>
      <w:lvlJc w:val="left"/>
      <w:pPr>
        <w:ind w:left="5040" w:hanging="360"/>
      </w:pPr>
      <w:rPr>
        <w:rFonts w:hint="default" w:ascii="Wingdings" w:hAnsi="Wingdings"/>
      </w:rPr>
    </w:lvl>
    <w:lvl w:ilvl="6" w:tplc="04090001" w:tentative="1">
      <w:start w:val="1"/>
      <w:numFmt w:val="bullet"/>
      <w:lvlText w:val=""/>
      <w:lvlJc w:val="left"/>
      <w:pPr>
        <w:ind w:left="5760" w:hanging="360"/>
      </w:pPr>
      <w:rPr>
        <w:rFonts w:hint="default" w:ascii="Symbol" w:hAnsi="Symbol"/>
      </w:rPr>
    </w:lvl>
    <w:lvl w:ilvl="7" w:tplc="04090003" w:tentative="1">
      <w:start w:val="1"/>
      <w:numFmt w:val="bullet"/>
      <w:lvlText w:val="o"/>
      <w:lvlJc w:val="left"/>
      <w:pPr>
        <w:ind w:left="6480" w:hanging="360"/>
      </w:pPr>
      <w:rPr>
        <w:rFonts w:hint="default" w:ascii="Courier New" w:hAnsi="Courier New" w:cs="Courier New"/>
      </w:rPr>
    </w:lvl>
    <w:lvl w:ilvl="8" w:tplc="04090005" w:tentative="1">
      <w:start w:val="1"/>
      <w:numFmt w:val="bullet"/>
      <w:lvlText w:val=""/>
      <w:lvlJc w:val="left"/>
      <w:pPr>
        <w:ind w:left="7200" w:hanging="360"/>
      </w:pPr>
      <w:rPr>
        <w:rFonts w:hint="default" w:ascii="Wingdings" w:hAnsi="Wingdings"/>
      </w:rPr>
    </w:lvl>
  </w:abstractNum>
  <w:abstractNum w:abstractNumId="9" w15:restartNumberingAfterBreak="0">
    <w:nsid w:val="525E1BBE"/>
    <w:multiLevelType w:val="hybridMultilevel"/>
    <w:tmpl w:val="47585A4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0" w15:restartNumberingAfterBreak="0">
    <w:nsid w:val="5A023B1B"/>
    <w:multiLevelType w:val="hybridMultilevel"/>
    <w:tmpl w:val="343E7CF0"/>
    <w:lvl w:ilvl="0" w:tplc="6D6AEC82">
      <w:start w:val="1"/>
      <w:numFmt w:val="bullet"/>
      <w:pStyle w:val="BulletPoints"/>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rPr>
    </w:lvl>
    <w:lvl w:ilvl="8" w:tplc="04090005" w:tentative="1">
      <w:start w:val="1"/>
      <w:numFmt w:val="bullet"/>
      <w:lvlText w:val=""/>
      <w:lvlJc w:val="left"/>
      <w:pPr>
        <w:ind w:left="6480" w:hanging="360"/>
      </w:pPr>
      <w:rPr>
        <w:rFonts w:hint="default" w:ascii="Wingdings" w:hAnsi="Wingdings"/>
      </w:rPr>
    </w:lvl>
  </w:abstractNum>
  <w:abstractNum w:abstractNumId="11" w15:restartNumberingAfterBreak="0">
    <w:nsid w:val="5AC5768C"/>
    <w:multiLevelType w:val="hybridMultilevel"/>
    <w:tmpl w:val="5178CE58"/>
    <w:lvl w:ilvl="0" w:tplc="04090001">
      <w:start w:val="1"/>
      <w:numFmt w:val="bullet"/>
      <w:lvlText w:val=""/>
      <w:lvlJc w:val="left"/>
      <w:pPr>
        <w:ind w:left="1800" w:hanging="360"/>
      </w:pPr>
      <w:rPr>
        <w:rFonts w:hint="default" w:ascii="Symbol" w:hAnsi="Symbol"/>
      </w:rPr>
    </w:lvl>
    <w:lvl w:ilvl="1" w:tplc="04090003" w:tentative="1">
      <w:start w:val="1"/>
      <w:numFmt w:val="bullet"/>
      <w:lvlText w:val="o"/>
      <w:lvlJc w:val="left"/>
      <w:pPr>
        <w:ind w:left="2520" w:hanging="360"/>
      </w:pPr>
      <w:rPr>
        <w:rFonts w:hint="default" w:ascii="Courier New" w:hAnsi="Courier New" w:cs="Courier New"/>
      </w:rPr>
    </w:lvl>
    <w:lvl w:ilvl="2" w:tplc="04090005" w:tentative="1">
      <w:start w:val="1"/>
      <w:numFmt w:val="bullet"/>
      <w:lvlText w:val=""/>
      <w:lvlJc w:val="left"/>
      <w:pPr>
        <w:ind w:left="3240" w:hanging="360"/>
      </w:pPr>
      <w:rPr>
        <w:rFonts w:hint="default" w:ascii="Wingdings" w:hAnsi="Wingdings"/>
      </w:rPr>
    </w:lvl>
    <w:lvl w:ilvl="3" w:tplc="04090001" w:tentative="1">
      <w:start w:val="1"/>
      <w:numFmt w:val="bullet"/>
      <w:lvlText w:val=""/>
      <w:lvlJc w:val="left"/>
      <w:pPr>
        <w:ind w:left="3960" w:hanging="360"/>
      </w:pPr>
      <w:rPr>
        <w:rFonts w:hint="default" w:ascii="Symbol" w:hAnsi="Symbol"/>
      </w:rPr>
    </w:lvl>
    <w:lvl w:ilvl="4" w:tplc="04090003" w:tentative="1">
      <w:start w:val="1"/>
      <w:numFmt w:val="bullet"/>
      <w:lvlText w:val="o"/>
      <w:lvlJc w:val="left"/>
      <w:pPr>
        <w:ind w:left="4680" w:hanging="360"/>
      </w:pPr>
      <w:rPr>
        <w:rFonts w:hint="default" w:ascii="Courier New" w:hAnsi="Courier New" w:cs="Courier New"/>
      </w:rPr>
    </w:lvl>
    <w:lvl w:ilvl="5" w:tplc="04090005" w:tentative="1">
      <w:start w:val="1"/>
      <w:numFmt w:val="bullet"/>
      <w:lvlText w:val=""/>
      <w:lvlJc w:val="left"/>
      <w:pPr>
        <w:ind w:left="5400" w:hanging="360"/>
      </w:pPr>
      <w:rPr>
        <w:rFonts w:hint="default" w:ascii="Wingdings" w:hAnsi="Wingdings"/>
      </w:rPr>
    </w:lvl>
    <w:lvl w:ilvl="6" w:tplc="04090001" w:tentative="1">
      <w:start w:val="1"/>
      <w:numFmt w:val="bullet"/>
      <w:lvlText w:val=""/>
      <w:lvlJc w:val="left"/>
      <w:pPr>
        <w:ind w:left="6120" w:hanging="360"/>
      </w:pPr>
      <w:rPr>
        <w:rFonts w:hint="default" w:ascii="Symbol" w:hAnsi="Symbol"/>
      </w:rPr>
    </w:lvl>
    <w:lvl w:ilvl="7" w:tplc="04090003" w:tentative="1">
      <w:start w:val="1"/>
      <w:numFmt w:val="bullet"/>
      <w:lvlText w:val="o"/>
      <w:lvlJc w:val="left"/>
      <w:pPr>
        <w:ind w:left="6840" w:hanging="360"/>
      </w:pPr>
      <w:rPr>
        <w:rFonts w:hint="default" w:ascii="Courier New" w:hAnsi="Courier New" w:cs="Courier New"/>
      </w:rPr>
    </w:lvl>
    <w:lvl w:ilvl="8" w:tplc="04090005" w:tentative="1">
      <w:start w:val="1"/>
      <w:numFmt w:val="bullet"/>
      <w:lvlText w:val=""/>
      <w:lvlJc w:val="left"/>
      <w:pPr>
        <w:ind w:left="7560" w:hanging="360"/>
      </w:pPr>
      <w:rPr>
        <w:rFonts w:hint="default" w:ascii="Wingdings" w:hAnsi="Wingdings"/>
      </w:rPr>
    </w:lvl>
  </w:abstractNum>
  <w:abstractNum w:abstractNumId="12" w15:restartNumberingAfterBreak="0">
    <w:nsid w:val="5C3F361B"/>
    <w:multiLevelType w:val="hybridMultilevel"/>
    <w:tmpl w:val="B5CCD848"/>
    <w:lvl w:ilvl="0" w:tplc="04090001">
      <w:start w:val="1"/>
      <w:numFmt w:val="bullet"/>
      <w:lvlText w:val=""/>
      <w:lvlJc w:val="left"/>
      <w:pPr>
        <w:ind w:left="1800" w:hanging="360"/>
      </w:pPr>
      <w:rPr>
        <w:rFonts w:hint="default" w:ascii="Symbol" w:hAnsi="Symbol"/>
      </w:rPr>
    </w:lvl>
    <w:lvl w:ilvl="1" w:tplc="04090003">
      <w:start w:val="1"/>
      <w:numFmt w:val="bullet"/>
      <w:lvlText w:val="o"/>
      <w:lvlJc w:val="left"/>
      <w:pPr>
        <w:ind w:left="2520" w:hanging="360"/>
      </w:pPr>
      <w:rPr>
        <w:rFonts w:hint="default" w:ascii="Courier New" w:hAnsi="Courier New" w:cs="Courier New"/>
      </w:rPr>
    </w:lvl>
    <w:lvl w:ilvl="2" w:tplc="04090005">
      <w:start w:val="1"/>
      <w:numFmt w:val="bullet"/>
      <w:lvlText w:val=""/>
      <w:lvlJc w:val="left"/>
      <w:pPr>
        <w:ind w:left="3240" w:hanging="360"/>
      </w:pPr>
      <w:rPr>
        <w:rFonts w:hint="default" w:ascii="Wingdings" w:hAnsi="Wingdings"/>
      </w:rPr>
    </w:lvl>
    <w:lvl w:ilvl="3" w:tplc="04090001">
      <w:start w:val="1"/>
      <w:numFmt w:val="bullet"/>
      <w:lvlText w:val=""/>
      <w:lvlJc w:val="left"/>
      <w:pPr>
        <w:ind w:left="3960" w:hanging="360"/>
      </w:pPr>
      <w:rPr>
        <w:rFonts w:hint="default" w:ascii="Symbol" w:hAnsi="Symbol"/>
      </w:rPr>
    </w:lvl>
    <w:lvl w:ilvl="4" w:tplc="04090003">
      <w:start w:val="1"/>
      <w:numFmt w:val="bullet"/>
      <w:lvlText w:val="o"/>
      <w:lvlJc w:val="left"/>
      <w:pPr>
        <w:ind w:left="4680" w:hanging="360"/>
      </w:pPr>
      <w:rPr>
        <w:rFonts w:hint="default" w:ascii="Courier New" w:hAnsi="Courier New" w:cs="Courier New"/>
      </w:rPr>
    </w:lvl>
    <w:lvl w:ilvl="5" w:tplc="04090005">
      <w:start w:val="1"/>
      <w:numFmt w:val="bullet"/>
      <w:lvlText w:val=""/>
      <w:lvlJc w:val="left"/>
      <w:pPr>
        <w:ind w:left="5400" w:hanging="360"/>
      </w:pPr>
      <w:rPr>
        <w:rFonts w:hint="default" w:ascii="Wingdings" w:hAnsi="Wingdings"/>
      </w:rPr>
    </w:lvl>
    <w:lvl w:ilvl="6" w:tplc="04090001">
      <w:start w:val="1"/>
      <w:numFmt w:val="bullet"/>
      <w:lvlText w:val=""/>
      <w:lvlJc w:val="left"/>
      <w:pPr>
        <w:ind w:left="6120" w:hanging="360"/>
      </w:pPr>
      <w:rPr>
        <w:rFonts w:hint="default" w:ascii="Symbol" w:hAnsi="Symbol"/>
      </w:rPr>
    </w:lvl>
    <w:lvl w:ilvl="7" w:tplc="04090003">
      <w:start w:val="1"/>
      <w:numFmt w:val="bullet"/>
      <w:lvlText w:val="o"/>
      <w:lvlJc w:val="left"/>
      <w:pPr>
        <w:ind w:left="6840" w:hanging="360"/>
      </w:pPr>
      <w:rPr>
        <w:rFonts w:hint="default" w:ascii="Courier New" w:hAnsi="Courier New" w:cs="Courier New"/>
      </w:rPr>
    </w:lvl>
    <w:lvl w:ilvl="8" w:tplc="04090005">
      <w:start w:val="1"/>
      <w:numFmt w:val="bullet"/>
      <w:lvlText w:val=""/>
      <w:lvlJc w:val="left"/>
      <w:pPr>
        <w:ind w:left="7560" w:hanging="360"/>
      </w:pPr>
      <w:rPr>
        <w:rFonts w:hint="default" w:ascii="Wingdings" w:hAnsi="Wingdings"/>
      </w:rPr>
    </w:lvl>
  </w:abstractNum>
  <w:num w:numId="1" w16cid:durableId="990452258">
    <w:abstractNumId w:val="5"/>
  </w:num>
  <w:num w:numId="2" w16cid:durableId="960769854">
    <w:abstractNumId w:val="7"/>
  </w:num>
  <w:num w:numId="3" w16cid:durableId="1181167481">
    <w:abstractNumId w:val="2"/>
  </w:num>
  <w:num w:numId="4" w16cid:durableId="713506399">
    <w:abstractNumId w:val="3"/>
  </w:num>
  <w:num w:numId="5" w16cid:durableId="1403410460">
    <w:abstractNumId w:val="10"/>
  </w:num>
  <w:num w:numId="6" w16cid:durableId="68813007">
    <w:abstractNumId w:val="0"/>
  </w:num>
  <w:num w:numId="7" w16cid:durableId="623776867">
    <w:abstractNumId w:val="9"/>
  </w:num>
  <w:num w:numId="8" w16cid:durableId="1406799009">
    <w:abstractNumId w:val="8"/>
  </w:num>
  <w:num w:numId="9" w16cid:durableId="559905136">
    <w:abstractNumId w:val="6"/>
  </w:num>
  <w:num w:numId="10" w16cid:durableId="17045862">
    <w:abstractNumId w:val="1"/>
  </w:num>
  <w:num w:numId="11" w16cid:durableId="654846308">
    <w:abstractNumId w:val="4"/>
  </w:num>
  <w:num w:numId="12" w16cid:durableId="1606959939">
    <w:abstractNumId w:val="12"/>
  </w:num>
  <w:num w:numId="13" w16cid:durableId="133785233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trackRevisions w:val="false"/>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5913"/>
    <w:rsid w:val="00043E1F"/>
    <w:rsid w:val="00055CCC"/>
    <w:rsid w:val="0006630C"/>
    <w:rsid w:val="0008171B"/>
    <w:rsid w:val="00081B1B"/>
    <w:rsid w:val="00090108"/>
    <w:rsid w:val="000D1FBB"/>
    <w:rsid w:val="00101B9C"/>
    <w:rsid w:val="00137765"/>
    <w:rsid w:val="001439F7"/>
    <w:rsid w:val="00145BC9"/>
    <w:rsid w:val="00156C6C"/>
    <w:rsid w:val="0016412B"/>
    <w:rsid w:val="00166D00"/>
    <w:rsid w:val="001705D2"/>
    <w:rsid w:val="001F34CA"/>
    <w:rsid w:val="00222561"/>
    <w:rsid w:val="00225913"/>
    <w:rsid w:val="00253642"/>
    <w:rsid w:val="002A3A8D"/>
    <w:rsid w:val="002A7847"/>
    <w:rsid w:val="002B1904"/>
    <w:rsid w:val="002D22BD"/>
    <w:rsid w:val="00317F0F"/>
    <w:rsid w:val="00326FCE"/>
    <w:rsid w:val="003332F4"/>
    <w:rsid w:val="003476F1"/>
    <w:rsid w:val="00351CA4"/>
    <w:rsid w:val="00364066"/>
    <w:rsid w:val="00385C4D"/>
    <w:rsid w:val="00387C09"/>
    <w:rsid w:val="00394F89"/>
    <w:rsid w:val="003C059D"/>
    <w:rsid w:val="003C2C71"/>
    <w:rsid w:val="00416C20"/>
    <w:rsid w:val="00427968"/>
    <w:rsid w:val="0044666E"/>
    <w:rsid w:val="00454B1A"/>
    <w:rsid w:val="004711B7"/>
    <w:rsid w:val="00495058"/>
    <w:rsid w:val="00496577"/>
    <w:rsid w:val="004C03CF"/>
    <w:rsid w:val="004D1907"/>
    <w:rsid w:val="004E17C2"/>
    <w:rsid w:val="004E6A65"/>
    <w:rsid w:val="004F50F7"/>
    <w:rsid w:val="00514325"/>
    <w:rsid w:val="0052759F"/>
    <w:rsid w:val="00531AE2"/>
    <w:rsid w:val="00546CAE"/>
    <w:rsid w:val="00547164"/>
    <w:rsid w:val="00580E49"/>
    <w:rsid w:val="00585B22"/>
    <w:rsid w:val="005A5317"/>
    <w:rsid w:val="005C176B"/>
    <w:rsid w:val="005C391A"/>
    <w:rsid w:val="005D17CC"/>
    <w:rsid w:val="005E0150"/>
    <w:rsid w:val="00632C90"/>
    <w:rsid w:val="00641656"/>
    <w:rsid w:val="00657475"/>
    <w:rsid w:val="00657A60"/>
    <w:rsid w:val="00680D6B"/>
    <w:rsid w:val="00692401"/>
    <w:rsid w:val="007177EB"/>
    <w:rsid w:val="00722F02"/>
    <w:rsid w:val="00724E77"/>
    <w:rsid w:val="00727CFA"/>
    <w:rsid w:val="007345F5"/>
    <w:rsid w:val="00745462"/>
    <w:rsid w:val="0074747E"/>
    <w:rsid w:val="00785AFF"/>
    <w:rsid w:val="00786F6C"/>
    <w:rsid w:val="00791581"/>
    <w:rsid w:val="007C3A81"/>
    <w:rsid w:val="007C5DC3"/>
    <w:rsid w:val="007E0F52"/>
    <w:rsid w:val="007E1B7C"/>
    <w:rsid w:val="00815A4F"/>
    <w:rsid w:val="008175C6"/>
    <w:rsid w:val="0082757E"/>
    <w:rsid w:val="00831B9F"/>
    <w:rsid w:val="008417DA"/>
    <w:rsid w:val="00861085"/>
    <w:rsid w:val="00861B79"/>
    <w:rsid w:val="0088777B"/>
    <w:rsid w:val="008A525F"/>
    <w:rsid w:val="008C52A2"/>
    <w:rsid w:val="008C5336"/>
    <w:rsid w:val="008D5943"/>
    <w:rsid w:val="008E5947"/>
    <w:rsid w:val="0090207B"/>
    <w:rsid w:val="0090324B"/>
    <w:rsid w:val="00915542"/>
    <w:rsid w:val="00916560"/>
    <w:rsid w:val="00920109"/>
    <w:rsid w:val="0093208C"/>
    <w:rsid w:val="00950DE0"/>
    <w:rsid w:val="009529CF"/>
    <w:rsid w:val="009A0E54"/>
    <w:rsid w:val="009C690F"/>
    <w:rsid w:val="009E0178"/>
    <w:rsid w:val="009E2794"/>
    <w:rsid w:val="009E6ACD"/>
    <w:rsid w:val="00A03184"/>
    <w:rsid w:val="00A043A9"/>
    <w:rsid w:val="00A3116D"/>
    <w:rsid w:val="00A35107"/>
    <w:rsid w:val="00A36958"/>
    <w:rsid w:val="00A45ACC"/>
    <w:rsid w:val="00A502D8"/>
    <w:rsid w:val="00A5500A"/>
    <w:rsid w:val="00A57190"/>
    <w:rsid w:val="00A60862"/>
    <w:rsid w:val="00A67341"/>
    <w:rsid w:val="00A82A87"/>
    <w:rsid w:val="00AC24A5"/>
    <w:rsid w:val="00AD2F5D"/>
    <w:rsid w:val="00AD50D1"/>
    <w:rsid w:val="00B2474A"/>
    <w:rsid w:val="00B34CDF"/>
    <w:rsid w:val="00BA01D2"/>
    <w:rsid w:val="00BA7552"/>
    <w:rsid w:val="00BD3DBD"/>
    <w:rsid w:val="00BD570D"/>
    <w:rsid w:val="00BD5F88"/>
    <w:rsid w:val="00C0028B"/>
    <w:rsid w:val="00C31CB2"/>
    <w:rsid w:val="00C6136B"/>
    <w:rsid w:val="00C632DF"/>
    <w:rsid w:val="00C82037"/>
    <w:rsid w:val="00C873CD"/>
    <w:rsid w:val="00C87F82"/>
    <w:rsid w:val="00C942EA"/>
    <w:rsid w:val="00C966E9"/>
    <w:rsid w:val="00CB3236"/>
    <w:rsid w:val="00CD0AA8"/>
    <w:rsid w:val="00CD518B"/>
    <w:rsid w:val="00CD7409"/>
    <w:rsid w:val="00D35A2B"/>
    <w:rsid w:val="00D4190C"/>
    <w:rsid w:val="00D5070F"/>
    <w:rsid w:val="00D61D0A"/>
    <w:rsid w:val="00D71502"/>
    <w:rsid w:val="00D87856"/>
    <w:rsid w:val="00D97F68"/>
    <w:rsid w:val="00DC2B48"/>
    <w:rsid w:val="00DE5E04"/>
    <w:rsid w:val="00DF44F8"/>
    <w:rsid w:val="00DF75F8"/>
    <w:rsid w:val="00E2019D"/>
    <w:rsid w:val="00E24DE8"/>
    <w:rsid w:val="00E424BC"/>
    <w:rsid w:val="00E43336"/>
    <w:rsid w:val="00E51B2E"/>
    <w:rsid w:val="00E571DE"/>
    <w:rsid w:val="00E66AAE"/>
    <w:rsid w:val="00E81716"/>
    <w:rsid w:val="00E85B1B"/>
    <w:rsid w:val="00E91371"/>
    <w:rsid w:val="00EA0017"/>
    <w:rsid w:val="00EA352A"/>
    <w:rsid w:val="00EB36FB"/>
    <w:rsid w:val="00ED1B1F"/>
    <w:rsid w:val="00EF2717"/>
    <w:rsid w:val="00F03C8B"/>
    <w:rsid w:val="00F04057"/>
    <w:rsid w:val="00F52CC6"/>
    <w:rsid w:val="00F539F3"/>
    <w:rsid w:val="00F70ABF"/>
    <w:rsid w:val="00F74988"/>
    <w:rsid w:val="00F81050"/>
    <w:rsid w:val="00F827FD"/>
    <w:rsid w:val="00F86ED2"/>
    <w:rsid w:val="00F968F5"/>
    <w:rsid w:val="00FA6075"/>
    <w:rsid w:val="00FC6CBA"/>
    <w:rsid w:val="00FE375B"/>
    <w:rsid w:val="00FE7C44"/>
    <w:rsid w:val="00FF0566"/>
    <w:rsid w:val="00FF13E4"/>
    <w:rsid w:val="00FF1DF0"/>
    <w:rsid w:val="01459587"/>
    <w:rsid w:val="0199E14F"/>
    <w:rsid w:val="022F8B35"/>
    <w:rsid w:val="0309F8DC"/>
    <w:rsid w:val="069192EC"/>
    <w:rsid w:val="096D6FF2"/>
    <w:rsid w:val="0AB1764B"/>
    <w:rsid w:val="0D5C9D81"/>
    <w:rsid w:val="0EC8DB6A"/>
    <w:rsid w:val="0F3EB75E"/>
    <w:rsid w:val="0F716E4C"/>
    <w:rsid w:val="106F0916"/>
    <w:rsid w:val="1164EF79"/>
    <w:rsid w:val="119FE819"/>
    <w:rsid w:val="12161FCA"/>
    <w:rsid w:val="1359A23A"/>
    <w:rsid w:val="13E28EA2"/>
    <w:rsid w:val="1B0F6461"/>
    <w:rsid w:val="1B98729E"/>
    <w:rsid w:val="1DFEC053"/>
    <w:rsid w:val="1E399539"/>
    <w:rsid w:val="20D1198C"/>
    <w:rsid w:val="211DAE88"/>
    <w:rsid w:val="214DEE1E"/>
    <w:rsid w:val="225AD4D0"/>
    <w:rsid w:val="25C02A64"/>
    <w:rsid w:val="28B3AD5B"/>
    <w:rsid w:val="2BD9D127"/>
    <w:rsid w:val="2C9FA007"/>
    <w:rsid w:val="2CFD1F10"/>
    <w:rsid w:val="2D4A4642"/>
    <w:rsid w:val="2DF05773"/>
    <w:rsid w:val="30F79288"/>
    <w:rsid w:val="3173E202"/>
    <w:rsid w:val="4185A041"/>
    <w:rsid w:val="42B515F6"/>
    <w:rsid w:val="445D96B6"/>
    <w:rsid w:val="45200228"/>
    <w:rsid w:val="456F3353"/>
    <w:rsid w:val="4918E26C"/>
    <w:rsid w:val="49E1DF5D"/>
    <w:rsid w:val="49ED6552"/>
    <w:rsid w:val="4A3355FB"/>
    <w:rsid w:val="5228A565"/>
    <w:rsid w:val="52455B64"/>
    <w:rsid w:val="53C72040"/>
    <w:rsid w:val="5660BABC"/>
    <w:rsid w:val="5728D758"/>
    <w:rsid w:val="57C58737"/>
    <w:rsid w:val="593B6725"/>
    <w:rsid w:val="5A7B7BAB"/>
    <w:rsid w:val="5B0E22CE"/>
    <w:rsid w:val="5BDB2592"/>
    <w:rsid w:val="5BF3563F"/>
    <w:rsid w:val="5CDD4402"/>
    <w:rsid w:val="5D02D951"/>
    <w:rsid w:val="5E17D66A"/>
    <w:rsid w:val="61B715E8"/>
    <w:rsid w:val="62EA8345"/>
    <w:rsid w:val="64285994"/>
    <w:rsid w:val="64CFBFE2"/>
    <w:rsid w:val="6B00C900"/>
    <w:rsid w:val="6C46EBE8"/>
    <w:rsid w:val="6F584407"/>
    <w:rsid w:val="71001296"/>
    <w:rsid w:val="71AE4E1E"/>
    <w:rsid w:val="72B971EF"/>
    <w:rsid w:val="73187030"/>
    <w:rsid w:val="753D7F8D"/>
    <w:rsid w:val="796C1120"/>
    <w:rsid w:val="7C4215CA"/>
    <w:rsid w:val="7D727EE1"/>
    <w:rsid w:val="7E382DAF"/>
    <w:rsid w:val="7E5B56D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5445C4"/>
  <w15:docId w15:val="{8FE934D6-6A15-40ED-9A07-1D4CBFD95D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lsdException w:name="heading 1" w:uiPriority="9" w:qFormat="1"/>
    <w:lsdException w:name="heading 2" w:uiPriority="9" w:semiHidden="1" w:unhideWhenUsed="1" w:qFormat="1"/>
    <w:lsdException w:name="heading 3" w:uiPriority="9" w:semiHidden="1" w:unhideWhenUsed="1"/>
    <w:lsdException w:name="heading 4" w:uiPriority="9" w:semiHidden="1" w:unhideWhenUsed="1" w:qFormat="1"/>
    <w:lsdException w:name="heading 5" w:uiPriority="9" w:semiHidden="1" w:unhideWhenUsed="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rsid w:val="005D17CC"/>
    <w:rPr>
      <w:rFonts w:ascii="Arial" w:hAnsi="Arial" w:eastAsia="Times New Roman" w:cs="Times New Roman"/>
      <w:lang w:bidi="en-US"/>
    </w:rPr>
  </w:style>
  <w:style w:type="paragraph" w:styleId="Heading1">
    <w:name w:val="heading 1"/>
    <w:aliases w:val="Headlines"/>
    <w:basedOn w:val="Normal"/>
    <w:next w:val="Normal"/>
    <w:link w:val="Heading1Char"/>
    <w:autoRedefine/>
    <w:uiPriority w:val="9"/>
    <w:qFormat/>
    <w:rsid w:val="00727CFA"/>
    <w:pPr>
      <w:keepNext/>
      <w:keepLines/>
      <w:widowControl/>
      <w:autoSpaceDE/>
      <w:autoSpaceDN/>
      <w:outlineLvl w:val="0"/>
    </w:pPr>
    <w:rPr>
      <w:rFonts w:cs="Arial"/>
      <w:b/>
      <w:bCs/>
      <w:color w:val="000000" w:themeColor="text1"/>
      <w:spacing w:val="10"/>
      <w:sz w:val="24"/>
      <w:szCs w:val="24"/>
      <w:lang w:bidi="ar-SA"/>
    </w:rPr>
  </w:style>
  <w:style w:type="paragraph" w:styleId="Heading2">
    <w:name w:val="heading 2"/>
    <w:aliases w:val="Intros"/>
    <w:basedOn w:val="Normal"/>
    <w:link w:val="Heading2Char"/>
    <w:uiPriority w:val="9"/>
    <w:qFormat/>
    <w:rsid w:val="008417DA"/>
    <w:pPr>
      <w:spacing w:line="276" w:lineRule="auto"/>
      <w:outlineLvl w:val="1"/>
    </w:pPr>
    <w:rPr>
      <w:rFonts w:cs="Arial"/>
      <w:sz w:val="28"/>
      <w:szCs w:val="28"/>
      <w:lang w:bidi="ar-SA"/>
    </w:rPr>
  </w:style>
  <w:style w:type="paragraph" w:styleId="Heading3">
    <w:name w:val="heading 3"/>
    <w:basedOn w:val="Normal"/>
    <w:next w:val="Normal"/>
    <w:link w:val="Heading3Char"/>
    <w:uiPriority w:val="9"/>
    <w:unhideWhenUsed/>
    <w:rsid w:val="00D87856"/>
    <w:pPr>
      <w:keepNext/>
      <w:keepLines/>
      <w:widowControl/>
      <w:autoSpaceDE/>
      <w:autoSpaceDN/>
      <w:spacing w:before="40" w:line="276" w:lineRule="auto"/>
      <w:outlineLvl w:val="2"/>
    </w:pPr>
    <w:rPr>
      <w:rFonts w:ascii="Calibri" w:hAnsi="Calibri" w:cs="Calibri"/>
      <w:b/>
      <w:bCs/>
      <w:color w:val="002060"/>
      <w:lang w:bidi="ar-SA"/>
    </w:rPr>
  </w:style>
  <w:style w:type="paragraph" w:styleId="Heading4">
    <w:name w:val="heading 4"/>
    <w:aliases w:val="Subheads"/>
    <w:basedOn w:val="Normal"/>
    <w:next w:val="Normal"/>
    <w:link w:val="Heading4Char"/>
    <w:uiPriority w:val="9"/>
    <w:unhideWhenUsed/>
    <w:qFormat/>
    <w:rsid w:val="000D1FBB"/>
    <w:pPr>
      <w:spacing w:after="120"/>
      <w:outlineLvl w:val="3"/>
    </w:pPr>
    <w:rPr>
      <w:rFonts w:cs="Arial"/>
      <w:b/>
      <w:bCs/>
      <w:sz w:val="20"/>
      <w:szCs w:val="20"/>
      <w:lang w:bidi="ar-SA"/>
    </w:rPr>
  </w:style>
  <w:style w:type="paragraph" w:styleId="Heading5">
    <w:name w:val="heading 5"/>
    <w:basedOn w:val="Normal"/>
    <w:next w:val="Normal"/>
    <w:link w:val="Heading5Char"/>
    <w:uiPriority w:val="9"/>
    <w:semiHidden/>
    <w:unhideWhenUsed/>
    <w:rsid w:val="00156C6C"/>
    <w:pPr>
      <w:keepNext/>
      <w:keepLines/>
      <w:spacing w:before="40"/>
      <w:outlineLvl w:val="4"/>
    </w:pPr>
    <w:rPr>
      <w:rFonts w:asciiTheme="majorHAnsi" w:hAnsiTheme="majorHAnsi" w:eastAsiaTheme="majorEastAsia" w:cstheme="majorBidi"/>
      <w:color w:val="365F91" w:themeColor="accent1" w:themeShade="BF"/>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ulletPoints" w:customStyle="1">
    <w:name w:val="Bullet Points"/>
    <w:basedOn w:val="Body"/>
    <w:autoRedefine/>
    <w:qFormat/>
    <w:rsid w:val="00B2474A"/>
    <w:pPr>
      <w:numPr>
        <w:numId w:val="5"/>
      </w:numPr>
      <w:spacing w:before="240" w:after="240" w:line="280" w:lineRule="exact"/>
      <w:ind w:right="360"/>
      <w:contextualSpacing/>
    </w:pPr>
  </w:style>
  <w:style w:type="character" w:styleId="Heading3Char" w:customStyle="1">
    <w:name w:val="Heading 3 Char"/>
    <w:basedOn w:val="DefaultParagraphFont"/>
    <w:link w:val="Heading3"/>
    <w:uiPriority w:val="9"/>
    <w:rsid w:val="00D87856"/>
    <w:rPr>
      <w:rFonts w:ascii="Calibri" w:hAnsi="Calibri" w:eastAsia="Times New Roman" w:cs="Calibri"/>
      <w:b/>
      <w:bCs/>
      <w:color w:val="002060"/>
    </w:rPr>
  </w:style>
  <w:style w:type="character" w:styleId="Heading2Char" w:customStyle="1">
    <w:name w:val="Heading 2 Char"/>
    <w:aliases w:val="Intros Char"/>
    <w:basedOn w:val="DefaultParagraphFont"/>
    <w:link w:val="Heading2"/>
    <w:uiPriority w:val="9"/>
    <w:rsid w:val="008417DA"/>
    <w:rPr>
      <w:rFonts w:ascii="Arial" w:hAnsi="Arial" w:eastAsia="Times New Roman" w:cs="Arial"/>
      <w:sz w:val="28"/>
      <w:szCs w:val="28"/>
    </w:rPr>
  </w:style>
  <w:style w:type="paragraph" w:styleId="NormalWeb">
    <w:name w:val="Normal (Web)"/>
    <w:basedOn w:val="Normal"/>
    <w:uiPriority w:val="99"/>
    <w:semiHidden/>
    <w:unhideWhenUsed/>
    <w:rsid w:val="00F04057"/>
    <w:pPr>
      <w:widowControl/>
      <w:autoSpaceDE/>
      <w:autoSpaceDN/>
      <w:spacing w:before="100" w:beforeAutospacing="1" w:after="100" w:afterAutospacing="1"/>
    </w:pPr>
    <w:rPr>
      <w:rFonts w:asciiTheme="minorHAnsi" w:hAnsiTheme="minorHAnsi"/>
      <w:sz w:val="24"/>
      <w:szCs w:val="24"/>
      <w:lang w:bidi="ar-SA"/>
    </w:rPr>
  </w:style>
  <w:style w:type="character" w:styleId="BookTitle">
    <w:name w:val="Book Title"/>
    <w:basedOn w:val="DefaultParagraphFont"/>
    <w:uiPriority w:val="33"/>
    <w:rsid w:val="00137765"/>
    <w:rPr>
      <w:b/>
      <w:bCs/>
      <w:i/>
      <w:iCs/>
      <w:spacing w:val="5"/>
    </w:rPr>
  </w:style>
  <w:style w:type="paragraph" w:styleId="Body" w:customStyle="1">
    <w:name w:val="Body"/>
    <w:basedOn w:val="Normal"/>
    <w:qFormat/>
    <w:rsid w:val="005D17CC"/>
    <w:pPr>
      <w:widowControl/>
      <w:autoSpaceDE/>
      <w:autoSpaceDN/>
      <w:spacing w:after="225" w:line="276" w:lineRule="auto"/>
      <w:jc w:val="both"/>
    </w:pPr>
    <w:rPr>
      <w:rFonts w:cs="Arial"/>
      <w:color w:val="000000"/>
      <w:sz w:val="20"/>
      <w:szCs w:val="20"/>
      <w:lang w:bidi="ar-SA"/>
    </w:rPr>
  </w:style>
  <w:style w:type="paragraph" w:styleId="Title">
    <w:name w:val="Title"/>
    <w:basedOn w:val="Normal"/>
    <w:next w:val="Normal"/>
    <w:link w:val="TitleChar"/>
    <w:uiPriority w:val="10"/>
    <w:rsid w:val="00137765"/>
    <w:pPr>
      <w:contextualSpacing/>
    </w:pPr>
    <w:rPr>
      <w:rFonts w:asciiTheme="majorHAnsi" w:hAnsiTheme="majorHAnsi" w:eastAsiaTheme="majorEastAsia" w:cstheme="majorBidi"/>
      <w:spacing w:val="-10"/>
      <w:kern w:val="28"/>
      <w:sz w:val="56"/>
      <w:szCs w:val="56"/>
    </w:rPr>
  </w:style>
  <w:style w:type="character" w:styleId="IntenseReference">
    <w:name w:val="Intense Reference"/>
    <w:basedOn w:val="DefaultParagraphFont"/>
    <w:uiPriority w:val="32"/>
    <w:rsid w:val="00137765"/>
    <w:rPr>
      <w:b/>
      <w:bCs/>
      <w:smallCaps/>
      <w:color w:val="4F81BD" w:themeColor="accent1"/>
      <w:spacing w:val="5"/>
    </w:rPr>
  </w:style>
  <w:style w:type="character" w:styleId="SubtleReference">
    <w:name w:val="Subtle Reference"/>
    <w:basedOn w:val="DefaultParagraphFont"/>
    <w:uiPriority w:val="31"/>
    <w:rsid w:val="00137765"/>
    <w:rPr>
      <w:smallCaps/>
      <w:color w:val="5A5A5A" w:themeColor="text1" w:themeTint="A5"/>
    </w:rPr>
  </w:style>
  <w:style w:type="paragraph" w:styleId="ListParagraph">
    <w:name w:val="List Paragraph"/>
    <w:basedOn w:val="Normal"/>
    <w:uiPriority w:val="34"/>
    <w:rsid w:val="00137765"/>
    <w:pPr>
      <w:ind w:left="720"/>
      <w:contextualSpacing/>
    </w:pPr>
    <w:rPr>
      <w:rFonts w:asciiTheme="minorHAnsi" w:hAnsiTheme="minorHAnsi"/>
    </w:rPr>
  </w:style>
  <w:style w:type="character" w:styleId="Strong">
    <w:name w:val="Strong"/>
    <w:basedOn w:val="DefaultParagraphFont"/>
    <w:uiPriority w:val="22"/>
    <w:rsid w:val="00137765"/>
    <w:rPr>
      <w:b/>
      <w:bCs/>
    </w:rPr>
  </w:style>
  <w:style w:type="character" w:styleId="PageNumber">
    <w:name w:val="page number"/>
    <w:basedOn w:val="DefaultParagraphFont"/>
    <w:uiPriority w:val="99"/>
    <w:semiHidden/>
    <w:unhideWhenUsed/>
    <w:rsid w:val="0074747E"/>
  </w:style>
  <w:style w:type="character" w:styleId="Heading1Char" w:customStyle="1">
    <w:name w:val="Heading 1 Char"/>
    <w:aliases w:val="Headlines Char"/>
    <w:basedOn w:val="DefaultParagraphFont"/>
    <w:link w:val="Heading1"/>
    <w:uiPriority w:val="9"/>
    <w:rsid w:val="00727CFA"/>
    <w:rPr>
      <w:rFonts w:ascii="Arial" w:hAnsi="Arial" w:eastAsia="Times New Roman" w:cs="Arial"/>
      <w:b/>
      <w:bCs/>
      <w:color w:val="000000" w:themeColor="text1"/>
      <w:spacing w:val="10"/>
      <w:sz w:val="24"/>
      <w:szCs w:val="24"/>
    </w:rPr>
  </w:style>
  <w:style w:type="character" w:styleId="TitleChar" w:customStyle="1">
    <w:name w:val="Title Char"/>
    <w:basedOn w:val="DefaultParagraphFont"/>
    <w:link w:val="Title"/>
    <w:uiPriority w:val="10"/>
    <w:rsid w:val="00137765"/>
    <w:rPr>
      <w:rFonts w:asciiTheme="majorHAnsi" w:hAnsiTheme="majorHAnsi" w:eastAsiaTheme="majorEastAsia" w:cstheme="majorBidi"/>
      <w:spacing w:val="-10"/>
      <w:kern w:val="28"/>
      <w:sz w:val="56"/>
      <w:szCs w:val="56"/>
      <w:lang w:bidi="en-US"/>
    </w:rPr>
  </w:style>
  <w:style w:type="paragraph" w:styleId="Subtitle">
    <w:name w:val="Subtitle"/>
    <w:basedOn w:val="Normal"/>
    <w:next w:val="Normal"/>
    <w:link w:val="SubtitleChar"/>
    <w:uiPriority w:val="11"/>
    <w:rsid w:val="00137765"/>
    <w:pPr>
      <w:numPr>
        <w:ilvl w:val="1"/>
      </w:numPr>
      <w:spacing w:after="160"/>
    </w:pPr>
    <w:rPr>
      <w:rFonts w:asciiTheme="minorHAnsi" w:hAnsiTheme="minorHAnsi" w:eastAsiaTheme="minorEastAsia" w:cstheme="minorBidi"/>
      <w:color w:val="5A5A5A" w:themeColor="text1" w:themeTint="A5"/>
      <w:spacing w:val="15"/>
    </w:rPr>
  </w:style>
  <w:style w:type="character" w:styleId="SubtitleChar" w:customStyle="1">
    <w:name w:val="Subtitle Char"/>
    <w:basedOn w:val="DefaultParagraphFont"/>
    <w:link w:val="Subtitle"/>
    <w:uiPriority w:val="11"/>
    <w:rsid w:val="00137765"/>
    <w:rPr>
      <w:rFonts w:eastAsiaTheme="minorEastAsia"/>
      <w:color w:val="5A5A5A" w:themeColor="text1" w:themeTint="A5"/>
      <w:spacing w:val="15"/>
      <w:lang w:bidi="en-US"/>
    </w:rPr>
  </w:style>
  <w:style w:type="character" w:styleId="SubtleEmphasis">
    <w:name w:val="Subtle Emphasis"/>
    <w:basedOn w:val="DefaultParagraphFont"/>
    <w:uiPriority w:val="19"/>
    <w:rsid w:val="00137765"/>
    <w:rPr>
      <w:i/>
      <w:iCs/>
      <w:color w:val="404040" w:themeColor="text1" w:themeTint="BF"/>
    </w:rPr>
  </w:style>
  <w:style w:type="paragraph" w:styleId="NoSpacing">
    <w:name w:val="No Spacing"/>
    <w:uiPriority w:val="1"/>
    <w:rsid w:val="00137765"/>
    <w:rPr>
      <w:rFonts w:ascii="Times New Roman" w:hAnsi="Times New Roman" w:eastAsia="Times New Roman" w:cs="Times New Roman"/>
      <w:lang w:bidi="en-US"/>
    </w:rPr>
  </w:style>
  <w:style w:type="character" w:styleId="Heading4Char" w:customStyle="1">
    <w:name w:val="Heading 4 Char"/>
    <w:aliases w:val="Subheads Char"/>
    <w:basedOn w:val="DefaultParagraphFont"/>
    <w:link w:val="Heading4"/>
    <w:uiPriority w:val="9"/>
    <w:rsid w:val="000D1FBB"/>
    <w:rPr>
      <w:rFonts w:ascii="Arial" w:hAnsi="Arial" w:eastAsia="Times New Roman" w:cs="Arial"/>
      <w:b/>
      <w:bCs/>
      <w:sz w:val="20"/>
      <w:szCs w:val="20"/>
    </w:rPr>
  </w:style>
  <w:style w:type="character" w:styleId="Heading5Char" w:customStyle="1">
    <w:name w:val="Heading 5 Char"/>
    <w:basedOn w:val="DefaultParagraphFont"/>
    <w:link w:val="Heading5"/>
    <w:uiPriority w:val="9"/>
    <w:semiHidden/>
    <w:rsid w:val="00156C6C"/>
    <w:rPr>
      <w:rFonts w:asciiTheme="majorHAnsi" w:hAnsiTheme="majorHAnsi" w:eastAsiaTheme="majorEastAsia" w:cstheme="majorBidi"/>
      <w:color w:val="365F91" w:themeColor="accent1" w:themeShade="BF"/>
      <w:lang w:bidi="en-US"/>
    </w:rPr>
  </w:style>
  <w:style w:type="paragraph" w:styleId="BasicParagraph" w:customStyle="1">
    <w:name w:val="[Basic Paragraph]"/>
    <w:basedOn w:val="Normal"/>
    <w:uiPriority w:val="99"/>
    <w:rsid w:val="00E24DE8"/>
    <w:pPr>
      <w:widowControl/>
      <w:adjustRightInd w:val="0"/>
      <w:spacing w:line="288" w:lineRule="auto"/>
      <w:textAlignment w:val="center"/>
    </w:pPr>
    <w:rPr>
      <w:rFonts w:ascii="MinionPro-Regular" w:hAnsi="MinionPro-Regular" w:cs="MinionPro-Regular" w:eastAsiaTheme="minorHAnsi"/>
      <w:color w:val="000000"/>
      <w:sz w:val="24"/>
      <w:szCs w:val="24"/>
      <w:lang w:bidi="ar-SA"/>
    </w:rPr>
  </w:style>
  <w:style w:type="character" w:styleId="Hyperlink">
    <w:name w:val="Hyperlink"/>
    <w:basedOn w:val="DefaultParagraphFont"/>
    <w:uiPriority w:val="99"/>
    <w:unhideWhenUsed/>
    <w:rsid w:val="00E24DE8"/>
    <w:rPr>
      <w:color w:val="0000FF" w:themeColor="hyperlink"/>
      <w:u w:val="single"/>
    </w:rPr>
  </w:style>
  <w:style w:type="character" w:styleId="UnresolvedMention">
    <w:name w:val="Unresolved Mention"/>
    <w:basedOn w:val="DefaultParagraphFont"/>
    <w:uiPriority w:val="99"/>
    <w:semiHidden/>
    <w:unhideWhenUsed/>
    <w:rsid w:val="00E24DE8"/>
    <w:rPr>
      <w:color w:val="605E5C"/>
      <w:shd w:val="clear" w:color="auto" w:fill="E1DFDD"/>
    </w:rPr>
  </w:style>
  <w:style w:type="paragraph" w:styleId="TOC2">
    <w:name w:val="toc 2"/>
    <w:basedOn w:val="Normal"/>
    <w:next w:val="Normal"/>
    <w:autoRedefine/>
    <w:uiPriority w:val="39"/>
    <w:unhideWhenUsed/>
    <w:rsid w:val="00E24DE8"/>
    <w:pPr>
      <w:widowControl/>
      <w:autoSpaceDE/>
      <w:autoSpaceDN/>
      <w:spacing w:before="120" w:line="276" w:lineRule="auto"/>
      <w:ind w:left="220"/>
    </w:pPr>
    <w:rPr>
      <w:rFonts w:asciiTheme="minorHAnsi" w:hAnsiTheme="minorHAnsi" w:eastAsiaTheme="minorHAnsi" w:cstheme="minorHAnsi"/>
      <w:b/>
      <w:bCs/>
      <w:lang w:bidi="ar-SA"/>
    </w:rPr>
  </w:style>
  <w:style w:type="paragraph" w:styleId="HeadersSlugs" w:customStyle="1">
    <w:name w:val="Headers / Slugs"/>
    <w:basedOn w:val="Heading1"/>
    <w:qFormat/>
    <w:rsid w:val="00B2474A"/>
    <w:pPr>
      <w:spacing w:after="160"/>
    </w:pPr>
    <w:rPr>
      <w:b w:val="0"/>
    </w:rPr>
  </w:style>
  <w:style w:type="paragraph" w:styleId="Header">
    <w:name w:val="header"/>
    <w:basedOn w:val="Normal"/>
    <w:link w:val="HeaderChar"/>
    <w:uiPriority w:val="99"/>
    <w:unhideWhenUsed/>
    <w:rsid w:val="00AD50D1"/>
    <w:pPr>
      <w:tabs>
        <w:tab w:val="center" w:pos="4680"/>
        <w:tab w:val="right" w:pos="9360"/>
      </w:tabs>
    </w:pPr>
    <w:rPr>
      <w:rFonts w:asciiTheme="minorHAnsi" w:hAnsiTheme="minorHAnsi"/>
    </w:rPr>
  </w:style>
  <w:style w:type="character" w:styleId="HeaderChar" w:customStyle="1">
    <w:name w:val="Header Char"/>
    <w:basedOn w:val="DefaultParagraphFont"/>
    <w:link w:val="Header"/>
    <w:uiPriority w:val="99"/>
    <w:rsid w:val="00AD50D1"/>
    <w:rPr>
      <w:rFonts w:eastAsia="Times New Roman" w:cs="Times New Roman"/>
      <w:lang w:bidi="en-US"/>
    </w:rPr>
  </w:style>
  <w:style w:type="paragraph" w:styleId="Footer">
    <w:name w:val="footer"/>
    <w:basedOn w:val="Normal"/>
    <w:link w:val="FooterChar"/>
    <w:uiPriority w:val="99"/>
    <w:unhideWhenUsed/>
    <w:rsid w:val="00546CAE"/>
    <w:pPr>
      <w:widowControl/>
      <w:tabs>
        <w:tab w:val="center" w:pos="4680"/>
        <w:tab w:val="right" w:pos="9360"/>
      </w:tabs>
      <w:autoSpaceDE/>
      <w:autoSpaceDN/>
    </w:pPr>
    <w:rPr>
      <w:rFonts w:asciiTheme="minorHAnsi" w:hAnsiTheme="minorHAnsi" w:eastAsiaTheme="minorEastAsia" w:cstheme="minorBidi"/>
      <w:lang w:eastAsia="zh-CN" w:bidi="ar-SA"/>
    </w:rPr>
  </w:style>
  <w:style w:type="character" w:styleId="FooterChar" w:customStyle="1">
    <w:name w:val="Footer Char"/>
    <w:basedOn w:val="DefaultParagraphFont"/>
    <w:link w:val="Footer"/>
    <w:uiPriority w:val="99"/>
    <w:rsid w:val="00546CAE"/>
    <w:rPr>
      <w:rFonts w:eastAsiaTheme="minorEastAsia"/>
      <w:lang w:eastAsia="zh-CN"/>
    </w:rPr>
  </w:style>
  <w:style w:type="paragraph" w:styleId="Header2" w:customStyle="1">
    <w:name w:val="Header 2"/>
    <w:basedOn w:val="Normal"/>
    <w:autoRedefine/>
    <w:qFormat/>
    <w:rsid w:val="004E17C2"/>
    <w:rPr>
      <w:rFonts w:ascii="Calibri" w:hAnsi="Calibri"/>
      <w:b/>
      <w:bCs/>
      <w:color w:val="002060"/>
      <w:sz w:val="28"/>
      <w:lang w:bidi="ar-SA"/>
    </w:rPr>
  </w:style>
  <w:style w:type="paragraph" w:styleId="paragraph" w:customStyle="1">
    <w:name w:val="paragraph"/>
    <w:basedOn w:val="Normal"/>
    <w:rsid w:val="004E17C2"/>
    <w:pPr>
      <w:widowControl/>
      <w:autoSpaceDE/>
      <w:autoSpaceDN/>
      <w:spacing w:before="100" w:beforeAutospacing="1" w:after="100" w:afterAutospacing="1"/>
    </w:pPr>
    <w:rPr>
      <w:rFonts w:ascii="Times New Roman" w:hAnsi="Times New Roman"/>
      <w:sz w:val="24"/>
      <w:szCs w:val="24"/>
      <w:lang w:bidi="ar-SA"/>
    </w:rPr>
  </w:style>
  <w:style w:type="character" w:styleId="normaltextrun" w:customStyle="1">
    <w:name w:val="normaltextrun"/>
    <w:basedOn w:val="DefaultParagraphFont"/>
    <w:rsid w:val="004E17C2"/>
  </w:style>
  <w:style w:type="character" w:styleId="eop" w:customStyle="1">
    <w:name w:val="eop"/>
    <w:basedOn w:val="DefaultParagraphFont"/>
    <w:rsid w:val="004E17C2"/>
  </w:style>
  <w:style w:type="paragraph" w:styleId="Default" w:customStyle="1">
    <w:name w:val="Default"/>
    <w:basedOn w:val="Normal"/>
    <w:rsid w:val="001439F7"/>
    <w:pPr>
      <w:widowControl/>
    </w:pPr>
    <w:rPr>
      <w:rFonts w:ascii="Calibri" w:hAnsi="Calibri" w:cs="Calibri" w:eastAsiaTheme="minorHAnsi"/>
      <w:color w:val="000000"/>
      <w:sz w:val="24"/>
      <w:szCs w:val="24"/>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6734211">
      <w:bodyDiv w:val="1"/>
      <w:marLeft w:val="0"/>
      <w:marRight w:val="0"/>
      <w:marTop w:val="0"/>
      <w:marBottom w:val="0"/>
      <w:divBdr>
        <w:top w:val="none" w:sz="0" w:space="0" w:color="auto"/>
        <w:left w:val="none" w:sz="0" w:space="0" w:color="auto"/>
        <w:bottom w:val="none" w:sz="0" w:space="0" w:color="auto"/>
        <w:right w:val="none" w:sz="0" w:space="0" w:color="auto"/>
      </w:divBdr>
    </w:div>
    <w:div w:id="614941367">
      <w:bodyDiv w:val="1"/>
      <w:marLeft w:val="0"/>
      <w:marRight w:val="0"/>
      <w:marTop w:val="0"/>
      <w:marBottom w:val="0"/>
      <w:divBdr>
        <w:top w:val="none" w:sz="0" w:space="0" w:color="auto"/>
        <w:left w:val="none" w:sz="0" w:space="0" w:color="auto"/>
        <w:bottom w:val="none" w:sz="0" w:space="0" w:color="auto"/>
        <w:right w:val="none" w:sz="0" w:space="0" w:color="auto"/>
      </w:divBdr>
      <w:divsChild>
        <w:div w:id="530845204">
          <w:marLeft w:val="216"/>
          <w:marRight w:val="432"/>
          <w:marTop w:val="0"/>
          <w:marBottom w:val="0"/>
          <w:divBdr>
            <w:top w:val="none" w:sz="0" w:space="0" w:color="auto"/>
            <w:left w:val="none" w:sz="0" w:space="0" w:color="auto"/>
            <w:bottom w:val="none" w:sz="0" w:space="0" w:color="auto"/>
            <w:right w:val="none" w:sz="0" w:space="0" w:color="auto"/>
          </w:divBdr>
        </w:div>
        <w:div w:id="1768378338">
          <w:marLeft w:val="432"/>
          <w:marRight w:val="216"/>
          <w:marTop w:val="0"/>
          <w:marBottom w:val="0"/>
          <w:divBdr>
            <w:top w:val="none" w:sz="0" w:space="0" w:color="auto"/>
            <w:left w:val="none" w:sz="0" w:space="0" w:color="auto"/>
            <w:bottom w:val="none" w:sz="0" w:space="0" w:color="auto"/>
            <w:right w:val="none" w:sz="0" w:space="0" w:color="auto"/>
          </w:divBdr>
        </w:div>
      </w:divsChild>
    </w:div>
    <w:div w:id="1510485762">
      <w:bodyDiv w:val="1"/>
      <w:marLeft w:val="0"/>
      <w:marRight w:val="0"/>
      <w:marTop w:val="0"/>
      <w:marBottom w:val="0"/>
      <w:divBdr>
        <w:top w:val="none" w:sz="0" w:space="0" w:color="auto"/>
        <w:left w:val="none" w:sz="0" w:space="0" w:color="auto"/>
        <w:bottom w:val="none" w:sz="0" w:space="0" w:color="auto"/>
        <w:right w:val="none" w:sz="0" w:space="0" w:color="auto"/>
      </w:divBdr>
    </w:div>
    <w:div w:id="1700352302">
      <w:bodyDiv w:val="1"/>
      <w:marLeft w:val="0"/>
      <w:marRight w:val="0"/>
      <w:marTop w:val="0"/>
      <w:marBottom w:val="0"/>
      <w:divBdr>
        <w:top w:val="none" w:sz="0" w:space="0" w:color="auto"/>
        <w:left w:val="none" w:sz="0" w:space="0" w:color="auto"/>
        <w:bottom w:val="none" w:sz="0" w:space="0" w:color="auto"/>
        <w:right w:val="none" w:sz="0" w:space="0" w:color="auto"/>
      </w:divBdr>
      <w:divsChild>
        <w:div w:id="1713310831">
          <w:marLeft w:val="432"/>
          <w:marRight w:val="216"/>
          <w:marTop w:val="0"/>
          <w:marBottom w:val="0"/>
          <w:divBdr>
            <w:top w:val="none" w:sz="0" w:space="0" w:color="auto"/>
            <w:left w:val="none" w:sz="0" w:space="0" w:color="auto"/>
            <w:bottom w:val="none" w:sz="0" w:space="0" w:color="auto"/>
            <w:right w:val="none" w:sz="0" w:space="0" w:color="auto"/>
          </w:divBdr>
        </w:div>
        <w:div w:id="2006322957">
          <w:marLeft w:val="216"/>
          <w:marRight w:val="432"/>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eader" Target="header1.xml" Id="rId13" /><Relationship Type="http://schemas.openxmlformats.org/officeDocument/2006/relationships/footer" Target="footer3.xml" Id="rId18" /><Relationship Type="http://schemas.openxmlformats.org/officeDocument/2006/relationships/customXml" Target="../customXml/item3.xml" Id="rId3" /><Relationship Type="http://schemas.microsoft.com/office/2020/10/relationships/intelligence" Target="intelligence2.xml" Id="rId21" /><Relationship Type="http://schemas.openxmlformats.org/officeDocument/2006/relationships/settings" Target="settings.xml" Id="rId7" /><Relationship Type="http://schemas.openxmlformats.org/officeDocument/2006/relationships/hyperlink" Target="https://www.icba.org/advocacy/letter-details/letter-in-support-of-the-protected-act" TargetMode="External" Id="rId12" /><Relationship Type="http://schemas.openxmlformats.org/officeDocument/2006/relationships/header" Target="header3.xml" Id="rId17" /><Relationship Type="http://schemas.openxmlformats.org/officeDocument/2006/relationships/customXml" Target="../customXml/item2.xml" Id="rId2" /><Relationship Type="http://schemas.openxmlformats.org/officeDocument/2006/relationships/footer" Target="footer2.xml" Id="rId16" /><Relationship Type="http://schemas.openxmlformats.org/officeDocument/2006/relationships/theme" Target="theme/theme1.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https://www.icba.org/w/icba-letter-supporting-the-repeal-1071-to-protect-small-business-lending-act" TargetMode="External" Id="rId11" /><Relationship Type="http://schemas.openxmlformats.org/officeDocument/2006/relationships/numbering" Target="numbering.xml" Id="rId5" /><Relationship Type="http://schemas.openxmlformats.org/officeDocument/2006/relationships/footer" Target="footer1.xml" Id="rId15" /><Relationship Type="http://schemas.openxmlformats.org/officeDocument/2006/relationships/endnotes" Target="endnotes.xml" Id="rId10" /><Relationship Type="http://schemas.openxmlformats.org/officeDocument/2006/relationships/fontTable" Target="fontTable.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eader" Target="header2.xml" Id="rId14" /></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54069256-e3ab-48b9-a674-d348a06f1628" xsi:nil="true"/>
    <_ip_UnifiedCompliancePolicyProperties xmlns="http://schemas.microsoft.com/sharepoint/v3" xsi:nil="true"/>
    <lcf76f155ced4ddcb4097134ff3c332f xmlns="bc345e2f-c454-4e8c-b48e-e496fd5664fc">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C60BB94E03D05438A8FA5925DBE12CA" ma:contentTypeVersion="19" ma:contentTypeDescription="Create a new document." ma:contentTypeScope="" ma:versionID="09fe9ddd54965e7192b35a87cdc63d20">
  <xsd:schema xmlns:xsd="http://www.w3.org/2001/XMLSchema" xmlns:xs="http://www.w3.org/2001/XMLSchema" xmlns:p="http://schemas.microsoft.com/office/2006/metadata/properties" xmlns:ns1="http://schemas.microsoft.com/sharepoint/v3" xmlns:ns2="bc345e2f-c454-4e8c-b48e-e496fd5664fc" xmlns:ns3="f64517e2-33c5-4f78-9781-ca05e1c3f037" xmlns:ns4="54069256-e3ab-48b9-a674-d348a06f1628" targetNamespace="http://schemas.microsoft.com/office/2006/metadata/properties" ma:root="true" ma:fieldsID="99ddf21229be4e617a937a1d3b5059bd" ns1:_="" ns2:_="" ns3:_="" ns4:_="">
    <xsd:import namespace="http://schemas.microsoft.com/sharepoint/v3"/>
    <xsd:import namespace="bc345e2f-c454-4e8c-b48e-e496fd5664fc"/>
    <xsd:import namespace="f64517e2-33c5-4f78-9781-ca05e1c3f037"/>
    <xsd:import namespace="54069256-e3ab-48b9-a674-d348a06f162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MediaServiceObjectDetectorVersions" minOccurs="0"/>
                <xsd:element ref="ns2:lcf76f155ced4ddcb4097134ff3c332f" minOccurs="0"/>
                <xsd:element ref="ns4:TaxCatchAll"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xsd:simpleType>
        <xsd:restriction base="dms:Note"/>
      </xsd:simpleType>
    </xsd:element>
    <xsd:element name="_ip_UnifiedCompliancePolicyUIAction" ma:index="2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c345e2f-c454-4e8c-b48e-e496fd5664f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200ea6a4-c0f9-4ccf-bf6c-dcf772f52e2a" ma:termSetId="09814cd3-568e-fe90-9814-8d621ff8fb84" ma:anchorId="fba54fb3-c3e1-fe81-a776-ca4b69148c4d" ma:open="true" ma:isKeyword="false">
      <xsd:complexType>
        <xsd:sequence>
          <xsd:element ref="pc:Terms" minOccurs="0" maxOccurs="1"/>
        </xsd:sequence>
      </xsd:complex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LengthInSeconds" ma:index="26"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f64517e2-33c5-4f78-9781-ca05e1c3f037"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4069256-e3ab-48b9-a674-d348a06f1628"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58cfd0e2-9c29-4d43-a991-8ed7b5533abd}" ma:internalName="TaxCatchAll" ma:showField="CatchAllData" ma:web="54069256-e3ab-48b9-a674-d348a06f162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D80B0A-A45B-41D7-BDC4-90EDC66A6D29}">
  <ds:schemaRefs>
    <ds:schemaRef ds:uri="http://schemas.microsoft.com/office/2006/metadata/properties"/>
    <ds:schemaRef ds:uri="http://schemas.microsoft.com/office/infopath/2007/PartnerControls"/>
    <ds:schemaRef ds:uri="http://schemas.microsoft.com/sharepoint/v3"/>
    <ds:schemaRef ds:uri="54069256-e3ab-48b9-a674-d348a06f1628"/>
    <ds:schemaRef ds:uri="bc345e2f-c454-4e8c-b48e-e496fd5664fc"/>
  </ds:schemaRefs>
</ds:datastoreItem>
</file>

<file path=customXml/itemProps2.xml><?xml version="1.0" encoding="utf-8"?>
<ds:datastoreItem xmlns:ds="http://schemas.openxmlformats.org/officeDocument/2006/customXml" ds:itemID="{43305002-E261-414E-9BA6-7AC92BB75215}">
  <ds:schemaRefs>
    <ds:schemaRef ds:uri="http://schemas.microsoft.com/sharepoint/v3/contenttype/forms"/>
  </ds:schemaRefs>
</ds:datastoreItem>
</file>

<file path=customXml/itemProps3.xml><?xml version="1.0" encoding="utf-8"?>
<ds:datastoreItem xmlns:ds="http://schemas.openxmlformats.org/officeDocument/2006/customXml" ds:itemID="{47B00376-B026-42A2-A838-E375BA949B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c345e2f-c454-4e8c-b48e-e496fd5664fc"/>
    <ds:schemaRef ds:uri="f64517e2-33c5-4f78-9781-ca05e1c3f037"/>
    <ds:schemaRef ds:uri="54069256-e3ab-48b9-a674-d348a06f162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14E2C4E-C931-8F48-A176-4F9F40362AFA}">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Carla Taylor-Badawu</dc:creator>
  <keywords/>
  <lastModifiedBy>Emma Darnell</lastModifiedBy>
  <revision>8</revision>
  <lastPrinted>2026-03-10T15:27:00.0000000Z</lastPrinted>
  <dcterms:created xsi:type="dcterms:W3CDTF">2026-09-01T12:48:00.0000000Z</dcterms:created>
  <dcterms:modified xsi:type="dcterms:W3CDTF">2026-09-10T18:28:32.2228202Z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2019-01-16T00:00:00Z</vt:filetime>
  </property>
  <property fmtid="{D5CDD505-2E9C-101B-9397-08002B2CF9AE}" pid="3" name="Creator">
    <vt:lpwstr>Adobe InDesign CC 14.0 (Macintosh)</vt:lpwstr>
  </property>
  <property fmtid="{D5CDD505-2E9C-101B-9397-08002B2CF9AE}" pid="4" name="LastSaved">
    <vt:filetime>2019-01-16T00:00:00Z</vt:filetime>
  </property>
  <property fmtid="{D5CDD505-2E9C-101B-9397-08002B2CF9AE}" pid="5" name="ContentTypeId">
    <vt:lpwstr>0x010100AC60BB94E03D05438A8FA5925DBE12CA</vt:lpwstr>
  </property>
  <property fmtid="{D5CDD505-2E9C-101B-9397-08002B2CF9AE}" pid="6" name="MediaServiceImageTags">
    <vt:lpwstr/>
  </property>
</Properties>
</file>