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B66C8D" w:rsidR="00B66C8D" w:rsidP="00B66C8D" w:rsidRDefault="00B66C8D" w14:paraId="4E66FA5D" w14:textId="254EF294">
      <w:pPr>
        <w:spacing w:line="240" w:lineRule="auto"/>
        <w:ind w:left="0" w:right="931" w:firstLine="0"/>
        <w:jc w:val="right"/>
        <w:rPr>
          <w:b/>
        </w:rPr>
      </w:pPr>
      <w:r w:rsidRPr="00B66C8D">
        <w:rPr>
          <w:b/>
          <w:noProof/>
          <w14:ligatures w14:val="none"/>
        </w:rPr>
        <mc:AlternateContent>
          <mc:Choice Requires="wps">
            <w:drawing>
              <wp:anchor distT="0" distB="0" distL="114300" distR="114300" simplePos="0" relativeHeight="251659264" behindDoc="0" locked="0" layoutInCell="1" allowOverlap="1" wp14:anchorId="0874543C" wp14:editId="6E998387">
                <wp:simplePos x="0" y="0"/>
                <wp:positionH relativeFrom="column">
                  <wp:posOffset>6350</wp:posOffset>
                </wp:positionH>
                <wp:positionV relativeFrom="paragraph">
                  <wp:posOffset>-171450</wp:posOffset>
                </wp:positionV>
                <wp:extent cx="6445250" cy="31750"/>
                <wp:effectExtent l="0" t="0" r="31750" b="25400"/>
                <wp:wrapNone/>
                <wp:docPr id="1831630411" name="Straight Connector 1"/>
                <wp:cNvGraphicFramePr/>
                <a:graphic xmlns:a="http://schemas.openxmlformats.org/drawingml/2006/main">
                  <a:graphicData uri="http://schemas.microsoft.com/office/word/2010/wordprocessingShape">
                    <wps:wsp>
                      <wps:cNvCnPr/>
                      <wps:spPr>
                        <a:xfrm flipV="1">
                          <a:off x="0" y="0"/>
                          <a:ext cx="6445250" cy="31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5pt,-13.5pt" to="508pt,-11pt" w14:anchorId="770E7B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"/>
            </w:pict>
          </mc:Fallback>
        </mc:AlternateContent>
      </w:r>
      <w:r w:rsidRPr="00B66C8D">
        <w:rPr>
          <w:b/>
        </w:rPr>
        <w:t>September 2026</w:t>
      </w:r>
    </w:p>
    <w:p w:rsidRPr="00B66C8D" w:rsidR="00B66C8D" w:rsidP="00B66C8D" w:rsidRDefault="00B66C8D" w14:paraId="0A446DBD" w14:textId="77777777">
      <w:pPr>
        <w:spacing w:line="240" w:lineRule="auto"/>
        <w:ind w:left="0" w:right="931" w:firstLine="0"/>
        <w:rPr>
          <w:b/>
        </w:rPr>
      </w:pPr>
    </w:p>
    <w:p w:rsidRPr="00B66C8D" w:rsidR="0088412B" w:rsidP="00B66C8D" w:rsidRDefault="0088412B" w14:paraId="1272B355" w14:textId="7E32A474">
      <w:pPr>
        <w:spacing w:line="240" w:lineRule="auto"/>
        <w:ind w:left="0" w:right="931" w:firstLine="0"/>
      </w:pPr>
      <w:proofErr w:type="gramStart"/>
      <w:r w:rsidRPr="00B66C8D">
        <w:rPr>
          <w:b/>
        </w:rPr>
        <w:t>Amend</w:t>
      </w:r>
      <w:proofErr w:type="gramEnd"/>
      <w:r w:rsidRPr="00B66C8D">
        <w:rPr>
          <w:b/>
        </w:rPr>
        <w:t xml:space="preserve"> the Clarity Act to Preserve Community Bank Lending </w:t>
      </w:r>
    </w:p>
    <w:p w:rsidRPr="00870C25" w:rsidR="0088412B" w:rsidP="00B66C8D" w:rsidRDefault="0088412B" w14:paraId="55568823" w14:textId="77777777">
      <w:pPr>
        <w:spacing w:line="240" w:lineRule="auto"/>
        <w:ind w:left="0" w:right="0" w:firstLine="0"/>
        <w:rPr>
          <w:rFonts w:ascii="Times New Roman" w:hAnsi="Times New Roman" w:cs="Times New Roman"/>
        </w:rPr>
      </w:pPr>
      <w:r w:rsidRPr="00870C25">
        <w:rPr>
          <w:rFonts w:ascii="Times New Roman" w:hAnsi="Times New Roman" w:eastAsia="Calibri" w:cs="Times New Roman"/>
          <w:b/>
          <w:color w:val="002060"/>
        </w:rPr>
        <w:t xml:space="preserve"> </w:t>
      </w:r>
    </w:p>
    <w:p w:rsidRPr="00B66C8D" w:rsidR="0088412B" w:rsidP="00B66C8D" w:rsidRDefault="0088412B" w14:paraId="73B192C2" w14:textId="56319619">
      <w:pPr>
        <w:spacing w:line="240" w:lineRule="auto"/>
        <w:ind w:left="0" w:right="0" w:firstLine="0"/>
        <w:rPr>
          <w:color w:val="0D0D0D"/>
          <w:sz w:val="22"/>
          <w:szCs w:val="22"/>
        </w:rPr>
      </w:pPr>
      <w:r w:rsidRPr="00B66C8D">
        <w:rPr>
          <w:color w:val="0D0D0D"/>
          <w:sz w:val="22"/>
          <w:szCs w:val="22"/>
        </w:rPr>
        <w:t xml:space="preserve">The CLARITY Act (H.R. 3633), legislation crafting a regulatory framework for digital assets, passed the Senate Banking Committee on May 14 by a vote of </w:t>
      </w:r>
      <w:r w:rsidRPr="00B66C8D" w:rsidR="00870C25">
        <w:rPr>
          <w:color w:val="0D0D0D"/>
          <w:sz w:val="22"/>
          <w:szCs w:val="22"/>
        </w:rPr>
        <w:t>15</w:t>
      </w:r>
      <w:r w:rsidRPr="00B66C8D">
        <w:rPr>
          <w:color w:val="0D0D0D"/>
          <w:sz w:val="22"/>
          <w:szCs w:val="22"/>
        </w:rPr>
        <w:t xml:space="preserve"> to </w:t>
      </w:r>
      <w:r w:rsidRPr="00B66C8D" w:rsidR="00870C25">
        <w:rPr>
          <w:color w:val="0D0D0D"/>
          <w:sz w:val="22"/>
          <w:szCs w:val="22"/>
        </w:rPr>
        <w:t>9</w:t>
      </w:r>
      <w:r w:rsidRPr="00B66C8D">
        <w:rPr>
          <w:color w:val="0D0D0D"/>
          <w:sz w:val="22"/>
          <w:szCs w:val="22"/>
        </w:rPr>
        <w:t>. We expect it to be considered on the Senate floor this month</w:t>
      </w:r>
      <w:r w:rsidRPr="00B66C8D" w:rsidR="0054787C">
        <w:rPr>
          <w:color w:val="0D0D0D"/>
          <w:sz w:val="22"/>
          <w:szCs w:val="22"/>
        </w:rPr>
        <w:t xml:space="preserve"> where it will need 60 votes</w:t>
      </w:r>
      <w:r w:rsidRPr="00B66C8D" w:rsidR="009415E0">
        <w:rPr>
          <w:color w:val="0D0D0D"/>
          <w:sz w:val="22"/>
          <w:szCs w:val="22"/>
        </w:rPr>
        <w:t xml:space="preserve"> to achieve </w:t>
      </w:r>
      <w:proofErr w:type="gramStart"/>
      <w:r w:rsidRPr="00B66C8D" w:rsidR="009415E0">
        <w:rPr>
          <w:color w:val="0D0D0D"/>
          <w:sz w:val="22"/>
          <w:szCs w:val="22"/>
        </w:rPr>
        <w:t>cloture</w:t>
      </w:r>
      <w:proofErr w:type="gramEnd"/>
      <w:r w:rsidRPr="00B66C8D" w:rsidR="009B2A8B">
        <w:rPr>
          <w:color w:val="0D0D0D"/>
          <w:sz w:val="22"/>
          <w:szCs w:val="22"/>
        </w:rPr>
        <w:t xml:space="preserve"> prior to final passage</w:t>
      </w:r>
      <w:r w:rsidRPr="00B66C8D">
        <w:rPr>
          <w:color w:val="0D0D0D"/>
          <w:sz w:val="22"/>
          <w:szCs w:val="22"/>
        </w:rPr>
        <w:t>. The House version was passed in July 2025.</w:t>
      </w:r>
    </w:p>
    <w:p w:rsidRPr="00B66C8D" w:rsidR="0088412B" w:rsidP="00B66C8D" w:rsidRDefault="0088412B" w14:paraId="7E5819D4" w14:textId="77777777">
      <w:pPr>
        <w:spacing w:line="240" w:lineRule="auto"/>
        <w:ind w:left="0" w:right="0" w:firstLine="0"/>
        <w:rPr>
          <w:color w:val="0D0D0D"/>
          <w:sz w:val="22"/>
          <w:szCs w:val="22"/>
        </w:rPr>
      </w:pPr>
    </w:p>
    <w:p w:rsidRPr="00B66C8D" w:rsidR="0088412B" w:rsidP="00B66C8D" w:rsidRDefault="0088412B" w14:paraId="14E3D5E0" w14:textId="641D28AE">
      <w:pPr>
        <w:spacing w:line="240" w:lineRule="auto"/>
        <w:ind w:left="0" w:right="0" w:firstLine="0"/>
        <w:rPr>
          <w:color w:val="0D0D0D"/>
          <w:sz w:val="22"/>
          <w:szCs w:val="22"/>
        </w:rPr>
      </w:pPr>
      <w:r w:rsidRPr="00B66C8D">
        <w:rPr>
          <w:color w:val="0D0D0D"/>
          <w:sz w:val="22"/>
          <w:szCs w:val="22"/>
        </w:rPr>
        <w:t xml:space="preserve">ICBA continues to press for changes to Section </w:t>
      </w:r>
      <w:r w:rsidRPr="00B66C8D" w:rsidR="00A95DB2">
        <w:rPr>
          <w:color w:val="0D0D0D"/>
          <w:sz w:val="22"/>
          <w:szCs w:val="22"/>
        </w:rPr>
        <w:t>10</w:t>
      </w:r>
      <w:r w:rsidRPr="00B66C8D">
        <w:rPr>
          <w:color w:val="0D0D0D"/>
          <w:sz w:val="22"/>
          <w:szCs w:val="22"/>
        </w:rPr>
        <w:t>404 of the Act, “</w:t>
      </w:r>
      <w:r w:rsidRPr="00B66C8D">
        <w:rPr>
          <w:sz w:val="22"/>
          <w:szCs w:val="22"/>
        </w:rPr>
        <w:t>Prohibiting Interest and Yield on Payment Stablecoins,”</w:t>
      </w:r>
      <w:r w:rsidRPr="00B66C8D">
        <w:rPr>
          <w:color w:val="0D0D0D"/>
          <w:sz w:val="22"/>
          <w:szCs w:val="22"/>
        </w:rPr>
        <w:t xml:space="preserve"> to ensure that it adequately addresses emerging risks and does not jeopardize America’s local economies by compromising community banks’ ability to supply credit. The current version of Section </w:t>
      </w:r>
      <w:r w:rsidRPr="00B66C8D" w:rsidR="00400034">
        <w:rPr>
          <w:color w:val="0D0D0D"/>
          <w:sz w:val="22"/>
          <w:szCs w:val="22"/>
        </w:rPr>
        <w:t>10</w:t>
      </w:r>
      <w:r w:rsidRPr="00B66C8D">
        <w:rPr>
          <w:color w:val="0D0D0D"/>
          <w:sz w:val="22"/>
          <w:szCs w:val="22"/>
        </w:rPr>
        <w:t>404 is narrow and ineffective.</w:t>
      </w:r>
    </w:p>
    <w:p w:rsidRPr="00B66C8D" w:rsidR="0088412B" w:rsidP="00B66C8D" w:rsidRDefault="0088412B" w14:paraId="0390AF98" w14:textId="77777777">
      <w:pPr>
        <w:spacing w:line="240" w:lineRule="auto"/>
        <w:ind w:left="0" w:right="0" w:firstLine="0"/>
        <w:rPr>
          <w:sz w:val="22"/>
          <w:szCs w:val="22"/>
        </w:rPr>
      </w:pPr>
    </w:p>
    <w:p w:rsidRPr="00B66C8D" w:rsidR="0088412B" w:rsidP="00B66C8D" w:rsidRDefault="0088412B" w14:paraId="60AD1D0E" w14:textId="77777777">
      <w:pPr>
        <w:spacing w:line="240" w:lineRule="auto"/>
        <w:ind w:left="-15" w:right="0" w:firstLine="0"/>
        <w:rPr>
          <w:sz w:val="22"/>
          <w:szCs w:val="22"/>
        </w:rPr>
      </w:pPr>
      <w:r w:rsidRPr="00B66C8D">
        <w:rPr>
          <w:b/>
          <w:color w:val="0D0D0D"/>
          <w:sz w:val="22"/>
          <w:szCs w:val="22"/>
        </w:rPr>
        <w:t>Background</w:t>
      </w:r>
      <w:r w:rsidRPr="00B66C8D">
        <w:rPr>
          <w:color w:val="0D0D0D"/>
          <w:sz w:val="22"/>
          <w:szCs w:val="22"/>
        </w:rPr>
        <w:t xml:space="preserve"> </w:t>
      </w:r>
    </w:p>
    <w:p w:rsidRPr="00B66C8D" w:rsidR="0088412B" w:rsidP="00B66C8D" w:rsidRDefault="0088412B" w14:paraId="6C407CD2" w14:textId="77777777">
      <w:pPr>
        <w:spacing w:line="240" w:lineRule="auto"/>
        <w:ind w:left="0" w:right="0" w:firstLine="0"/>
        <w:rPr>
          <w:sz w:val="22"/>
          <w:szCs w:val="22"/>
        </w:rPr>
      </w:pPr>
    </w:p>
    <w:p w:rsidRPr="00B66C8D" w:rsidR="0088412B" w:rsidP="00B66C8D" w:rsidRDefault="0088412B" w14:paraId="01018339" w14:textId="6893161D">
      <w:pPr>
        <w:spacing w:line="240" w:lineRule="auto"/>
        <w:ind w:left="-15" w:right="49" w:firstLine="0"/>
        <w:rPr>
          <w:sz w:val="22"/>
          <w:szCs w:val="22"/>
        </w:rPr>
      </w:pPr>
      <w:r w:rsidRPr="43F47D57" w:rsidR="1E67355C">
        <w:rPr>
          <w:sz w:val="22"/>
          <w:szCs w:val="22"/>
        </w:rPr>
        <w:t xml:space="preserve">Stablecoins are a type of digital asset designed to </w:t>
      </w:r>
      <w:r w:rsidRPr="43F47D57" w:rsidR="1E67355C">
        <w:rPr>
          <w:sz w:val="22"/>
          <w:szCs w:val="22"/>
        </w:rPr>
        <w:t>maintain</w:t>
      </w:r>
      <w:r w:rsidRPr="43F47D57" w:rsidR="1E67355C">
        <w:rPr>
          <w:sz w:val="22"/>
          <w:szCs w:val="22"/>
        </w:rPr>
        <w:t xml:space="preserve"> a stable value by being pegged to a reference asset such the US dollar. This peg is </w:t>
      </w:r>
      <w:r w:rsidRPr="43F47D57" w:rsidR="1E67355C">
        <w:rPr>
          <w:sz w:val="22"/>
          <w:szCs w:val="22"/>
        </w:rPr>
        <w:t>maintained</w:t>
      </w:r>
      <w:r w:rsidRPr="43F47D57" w:rsidR="1E67355C">
        <w:rPr>
          <w:sz w:val="22"/>
          <w:szCs w:val="22"/>
        </w:rPr>
        <w:t xml:space="preserve"> by holding reserves like cash, U.S. Treasuries, or bank deposits on a 1-to-1 basis. The value of stablecoins in circulation currently exceeds </w:t>
      </w:r>
      <w:r w:rsidRPr="43F47D57" w:rsidR="1E67355C">
        <w:rPr>
          <w:sz w:val="22"/>
          <w:szCs w:val="22"/>
        </w:rPr>
        <w:t>$260 billion</w:t>
      </w:r>
      <w:r w:rsidRPr="43F47D57" w:rsidR="1E67355C">
        <w:rPr>
          <w:sz w:val="22"/>
          <w:szCs w:val="22"/>
        </w:rPr>
        <w:t xml:space="preserve">. Stablecoins are primarily used to </w:t>
      </w:r>
      <w:r w:rsidRPr="43F47D57" w:rsidR="1E67355C">
        <w:rPr>
          <w:sz w:val="22"/>
          <w:szCs w:val="22"/>
        </w:rPr>
        <w:t>facilitate</w:t>
      </w:r>
      <w:r w:rsidRPr="43F47D57" w:rsidR="1E67355C">
        <w:rPr>
          <w:sz w:val="22"/>
          <w:szCs w:val="22"/>
        </w:rPr>
        <w:t xml:space="preserve"> crypto asset trading. They may also be used for retail and commercial payments</w:t>
      </w:r>
      <w:r w:rsidRPr="43F47D57" w:rsidR="1F72667F">
        <w:rPr>
          <w:b w:val="1"/>
          <w:bCs w:val="1"/>
          <w:sz w:val="22"/>
          <w:szCs w:val="22"/>
        </w:rPr>
        <w:t xml:space="preserve">. </w:t>
      </w:r>
    </w:p>
    <w:p w:rsidRPr="00B66C8D" w:rsidR="0088412B" w:rsidP="00B66C8D" w:rsidRDefault="0088412B" w14:paraId="3213C9CB" w14:textId="77777777">
      <w:pPr>
        <w:spacing w:line="240" w:lineRule="auto"/>
        <w:ind w:left="0" w:right="0" w:firstLine="0"/>
        <w:rPr>
          <w:sz w:val="22"/>
          <w:szCs w:val="22"/>
        </w:rPr>
      </w:pPr>
      <w:r w:rsidRPr="00B66C8D">
        <w:rPr>
          <w:b/>
          <w:sz w:val="22"/>
          <w:szCs w:val="22"/>
        </w:rPr>
        <w:t xml:space="preserve"> </w:t>
      </w:r>
    </w:p>
    <w:p w:rsidRPr="00B66C8D" w:rsidR="0088412B" w:rsidP="00B66C8D" w:rsidRDefault="0088412B" w14:paraId="3C315168" w14:textId="189541A5">
      <w:pPr>
        <w:spacing w:line="240" w:lineRule="auto"/>
        <w:ind w:left="-15" w:right="49" w:firstLine="0"/>
        <w:rPr>
          <w:sz w:val="22"/>
          <w:szCs w:val="22"/>
        </w:rPr>
      </w:pPr>
      <w:r w:rsidRPr="43F47D57" w:rsidR="1E67355C">
        <w:rPr>
          <w:sz w:val="22"/>
          <w:szCs w:val="22"/>
        </w:rPr>
        <w:t xml:space="preserve">In July 2025, Congress enacted the GENIUS Act (S. 1582), which creates a federal regulatory framework for </w:t>
      </w:r>
      <w:bookmarkStart w:name="_Int_SqWhOT2M" w:id="996931110"/>
      <w:r w:rsidRPr="43F47D57" w:rsidR="1E67355C">
        <w:rPr>
          <w:sz w:val="22"/>
          <w:szCs w:val="22"/>
        </w:rPr>
        <w:t>payment</w:t>
      </w:r>
      <w:bookmarkEnd w:id="996931110"/>
      <w:r w:rsidRPr="43F47D57" w:rsidR="1E67355C">
        <w:rPr>
          <w:sz w:val="22"/>
          <w:szCs w:val="22"/>
        </w:rPr>
        <w:t xml:space="preserve"> stablecoin issuance. The GENIUS Act </w:t>
      </w:r>
      <w:r w:rsidRPr="43F47D57" w:rsidR="1E67355C">
        <w:rPr>
          <w:color w:val="0D0D0D" w:themeColor="text1" w:themeTint="F2" w:themeShade="FF"/>
          <w:sz w:val="22"/>
          <w:szCs w:val="22"/>
        </w:rPr>
        <w:t xml:space="preserve">took </w:t>
      </w:r>
      <w:bookmarkStart w:name="_Int_iJkH7I0s" w:id="486239366"/>
      <w:r w:rsidRPr="43F47D57" w:rsidR="1E67355C">
        <w:rPr>
          <w:color w:val="0D0D0D" w:themeColor="text1" w:themeTint="F2" w:themeShade="FF"/>
          <w:sz w:val="22"/>
          <w:szCs w:val="22"/>
        </w:rPr>
        <w:t>an important step</w:t>
      </w:r>
      <w:bookmarkEnd w:id="486239366"/>
      <w:r w:rsidRPr="43F47D57" w:rsidR="1E67355C">
        <w:rPr>
          <w:color w:val="0D0D0D" w:themeColor="text1" w:themeTint="F2" w:themeShade="FF"/>
          <w:sz w:val="22"/>
          <w:szCs w:val="22"/>
        </w:rPr>
        <w:t xml:space="preserve"> in addressing the risk to community bank disintermediation by prohibiting </w:t>
      </w:r>
      <w:bookmarkStart w:name="_Int_OZop8xou" w:id="1645563394"/>
      <w:r w:rsidRPr="43F47D57" w:rsidR="1E67355C">
        <w:rPr>
          <w:color w:val="0D0D0D" w:themeColor="text1" w:themeTint="F2" w:themeShade="FF"/>
          <w:sz w:val="22"/>
          <w:szCs w:val="22"/>
        </w:rPr>
        <w:t>payment</w:t>
      </w:r>
      <w:bookmarkEnd w:id="1645563394"/>
      <w:r w:rsidRPr="43F47D57" w:rsidR="1E67355C">
        <w:rPr>
          <w:color w:val="0D0D0D" w:themeColor="text1" w:themeTint="F2" w:themeShade="FF"/>
          <w:sz w:val="22"/>
          <w:szCs w:val="22"/>
        </w:rPr>
        <w:t xml:space="preserve"> stablecoin issuers from paying yield, </w:t>
      </w:r>
      <w:bookmarkStart w:name="_Int_Bv0EqtmS" w:id="1024674528"/>
      <w:r w:rsidRPr="43F47D57" w:rsidR="1E67355C">
        <w:rPr>
          <w:color w:val="0D0D0D" w:themeColor="text1" w:themeTint="F2" w:themeShade="FF"/>
          <w:sz w:val="22"/>
          <w:szCs w:val="22"/>
        </w:rPr>
        <w:t>interest</w:t>
      </w:r>
      <w:bookmarkEnd w:id="1024674528"/>
      <w:r w:rsidRPr="43F47D57" w:rsidR="1E67355C">
        <w:rPr>
          <w:color w:val="0D0D0D" w:themeColor="text1" w:themeTint="F2" w:themeShade="FF"/>
          <w:sz w:val="22"/>
          <w:szCs w:val="22"/>
        </w:rPr>
        <w:t xml:space="preserve"> or other consideration directly to stablecoin holders.</w:t>
      </w:r>
      <w:r w:rsidRPr="43F47D57" w:rsidR="1E67355C">
        <w:rPr>
          <w:sz w:val="22"/>
          <w:szCs w:val="22"/>
        </w:rPr>
        <w:t xml:space="preserve"> This was intended to </w:t>
      </w:r>
      <w:r w:rsidRPr="43F47D57" w:rsidR="500C7996">
        <w:rPr>
          <w:sz w:val="22"/>
          <w:szCs w:val="22"/>
        </w:rPr>
        <w:t xml:space="preserve">define </w:t>
      </w:r>
      <w:r w:rsidRPr="43F47D57" w:rsidR="1E67355C">
        <w:rPr>
          <w:sz w:val="22"/>
          <w:szCs w:val="22"/>
        </w:rPr>
        <w:t>stablecoins</w:t>
      </w:r>
      <w:r w:rsidRPr="43F47D57" w:rsidR="500C7996">
        <w:rPr>
          <w:sz w:val="22"/>
          <w:szCs w:val="22"/>
        </w:rPr>
        <w:t xml:space="preserve"> as a payment mechanism rather than</w:t>
      </w:r>
      <w:r w:rsidRPr="43F47D57" w:rsidR="1E67355C">
        <w:rPr>
          <w:sz w:val="22"/>
          <w:szCs w:val="22"/>
        </w:rPr>
        <w:t xml:space="preserve"> a “store of value” and alternative to bank deposits. However, this prohibition can be evaded by paying yield equivalents to </w:t>
      </w:r>
      <w:r w:rsidRPr="43F47D57" w:rsidR="1E67355C">
        <w:rPr>
          <w:sz w:val="22"/>
          <w:szCs w:val="22"/>
        </w:rPr>
        <w:t>stablecoin</w:t>
      </w:r>
      <w:r w:rsidRPr="43F47D57" w:rsidR="1E67355C">
        <w:rPr>
          <w:sz w:val="22"/>
          <w:szCs w:val="22"/>
        </w:rPr>
        <w:t xml:space="preserve"> holders through crypto exchanges, affiliates, and other market participants that are the focus of the CLARITY Act. Congress must complete the work of the GENIUS Act by including in the CLARITY Act an explicit and robust prohibition on payment of yield by crypto exchanges, affiliates, and other intermediaries. </w:t>
      </w:r>
    </w:p>
    <w:p w:rsidRPr="00B66C8D" w:rsidR="0088412B" w:rsidP="00B66C8D" w:rsidRDefault="0088412B" w14:paraId="4B0CCDE6" w14:textId="77777777">
      <w:pPr>
        <w:spacing w:line="240" w:lineRule="auto"/>
        <w:ind w:left="0" w:right="0" w:firstLine="0"/>
        <w:rPr>
          <w:sz w:val="22"/>
          <w:szCs w:val="22"/>
        </w:rPr>
      </w:pPr>
    </w:p>
    <w:p w:rsidRPr="00B66C8D" w:rsidR="0088412B" w:rsidP="00B66C8D" w:rsidRDefault="0088412B" w14:paraId="4543BAE2" w14:textId="77777777">
      <w:pPr>
        <w:spacing w:line="240" w:lineRule="auto"/>
        <w:ind w:left="0" w:right="0" w:firstLine="0"/>
        <w:rPr>
          <w:b/>
          <w:bCs/>
          <w:sz w:val="22"/>
          <w:szCs w:val="22"/>
        </w:rPr>
      </w:pPr>
      <w:r w:rsidRPr="00B66C8D">
        <w:rPr>
          <w:b/>
          <w:bCs/>
          <w:sz w:val="22"/>
          <w:szCs w:val="22"/>
        </w:rPr>
        <w:t>Payment of Yield or Yield-Equivalents Jeopardizes Deposits That Support Lending</w:t>
      </w:r>
    </w:p>
    <w:p w:rsidRPr="00B66C8D" w:rsidR="0088412B" w:rsidP="00B66C8D" w:rsidRDefault="0088412B" w14:paraId="52655122" w14:textId="77777777">
      <w:pPr>
        <w:spacing w:line="240" w:lineRule="auto"/>
        <w:ind w:left="0" w:right="0" w:firstLine="0"/>
        <w:rPr>
          <w:b/>
          <w:sz w:val="22"/>
          <w:szCs w:val="22"/>
          <w:u w:val="single" w:color="000000"/>
        </w:rPr>
      </w:pPr>
    </w:p>
    <w:p w:rsidRPr="00B66C8D" w:rsidR="0088412B" w:rsidP="00B66C8D" w:rsidRDefault="0088412B" w14:paraId="13E667CF" w14:textId="77777777">
      <w:pPr>
        <w:spacing w:line="240" w:lineRule="auto"/>
        <w:ind w:left="0" w:right="0" w:firstLine="0"/>
        <w:rPr>
          <w:sz w:val="22"/>
          <w:szCs w:val="22"/>
        </w:rPr>
      </w:pPr>
      <w:r w:rsidRPr="43F47D57" w:rsidR="1E67355C">
        <w:rPr>
          <w:sz w:val="22"/>
          <w:szCs w:val="22"/>
        </w:rPr>
        <w:t xml:space="preserve">This prohibition on payment of interest, yield, or rewards is critical to maintaining Americans’ access to credit. </w:t>
      </w:r>
      <w:bookmarkStart w:name="_Int_bnreVqdk" w:id="976695048"/>
      <w:r w:rsidRPr="43F47D57" w:rsidR="1E67355C">
        <w:rPr>
          <w:sz w:val="22"/>
          <w:szCs w:val="22"/>
        </w:rPr>
        <w:t>A strong prohibition will maintain stablecoins’ intended purpose as a payment mechanism.</w:t>
      </w:r>
      <w:bookmarkEnd w:id="976695048"/>
      <w:r w:rsidRPr="43F47D57" w:rsidR="1E67355C">
        <w:rPr>
          <w:sz w:val="22"/>
          <w:szCs w:val="22"/>
        </w:rPr>
        <w:t xml:space="preserve"> Critically, it will help avoid a flight of FDIC-insured domestic deposits in pursuit of yield to global crypto conglomerates and other </w:t>
      </w:r>
      <w:bookmarkStart w:name="_Int_M3Zgdb6k" w:id="1055468455"/>
      <w:r w:rsidRPr="43F47D57" w:rsidR="1E67355C">
        <w:rPr>
          <w:sz w:val="22"/>
          <w:szCs w:val="22"/>
        </w:rPr>
        <w:t>non bank</w:t>
      </w:r>
      <w:bookmarkEnd w:id="1055468455"/>
      <w:r w:rsidRPr="43F47D57" w:rsidR="1E67355C">
        <w:rPr>
          <w:sz w:val="22"/>
          <w:szCs w:val="22"/>
        </w:rPr>
        <w:t xml:space="preserve"> entities that do not have the same regulatory oversight or local commitment as community banks. The loss of community bank lending would leave a credit vacuum—only community banks have </w:t>
      </w:r>
      <w:bookmarkStart w:name="_Int_wRHkoZK8" w:id="1886173729"/>
      <w:r w:rsidRPr="43F47D57" w:rsidR="1E67355C">
        <w:rPr>
          <w:sz w:val="22"/>
          <w:szCs w:val="22"/>
        </w:rPr>
        <w:t>a vested interest</w:t>
      </w:r>
      <w:bookmarkEnd w:id="1886173729"/>
      <w:r w:rsidRPr="43F47D57" w:rsidR="1E67355C">
        <w:rPr>
          <w:sz w:val="22"/>
          <w:szCs w:val="22"/>
        </w:rPr>
        <w:t xml:space="preserve"> in and demonstrated commitment to Main Street economies.</w:t>
      </w:r>
    </w:p>
    <w:p w:rsidR="00B66C8D" w:rsidP="00B66C8D" w:rsidRDefault="00B66C8D" w14:paraId="14150786" w14:textId="77777777">
      <w:pPr>
        <w:spacing w:line="240" w:lineRule="auto"/>
        <w:ind w:left="0" w:right="0" w:firstLine="0"/>
        <w:rPr>
          <w:b/>
          <w:bCs/>
          <w:sz w:val="22"/>
          <w:szCs w:val="22"/>
        </w:rPr>
      </w:pPr>
    </w:p>
    <w:p w:rsidRPr="00B66C8D" w:rsidR="0088412B" w:rsidP="00B66C8D" w:rsidRDefault="0088412B" w14:paraId="09293D9B" w14:textId="4C026CCE">
      <w:pPr>
        <w:spacing w:line="240" w:lineRule="auto"/>
        <w:ind w:left="0" w:right="0" w:firstLine="0"/>
        <w:rPr>
          <w:sz w:val="22"/>
          <w:szCs w:val="22"/>
        </w:rPr>
      </w:pPr>
      <w:r w:rsidRPr="43F47D57" w:rsidR="1E67355C">
        <w:rPr>
          <w:b w:val="1"/>
          <w:bCs w:val="1"/>
          <w:sz w:val="22"/>
          <w:szCs w:val="22"/>
        </w:rPr>
        <w:t xml:space="preserve">The research clearly shows that payment of yield, </w:t>
      </w:r>
      <w:bookmarkStart w:name="_Int_Ufb43iDg" w:id="1627477586"/>
      <w:r w:rsidRPr="43F47D57" w:rsidR="1E67355C">
        <w:rPr>
          <w:b w:val="1"/>
          <w:bCs w:val="1"/>
          <w:sz w:val="22"/>
          <w:szCs w:val="22"/>
        </w:rPr>
        <w:t>interest</w:t>
      </w:r>
      <w:bookmarkEnd w:id="1627477586"/>
      <w:r w:rsidRPr="43F47D57" w:rsidR="1E67355C">
        <w:rPr>
          <w:b w:val="1"/>
          <w:bCs w:val="1"/>
          <w:sz w:val="22"/>
          <w:szCs w:val="22"/>
        </w:rPr>
        <w:t xml:space="preserve"> or rewards on payment stablecoin holdings will reduce community bank lending capacity</w:t>
      </w:r>
      <w:r w:rsidRPr="43F47D57" w:rsidR="1E67355C">
        <w:rPr>
          <w:sz w:val="22"/>
          <w:szCs w:val="22"/>
        </w:rPr>
        <w:t xml:space="preserve">. Based on new macroeconomic modeling, ICBA estimates that the growth of the stablecoin market resulting from payment of yield or interest on </w:t>
      </w:r>
      <w:r w:rsidRPr="43F47D57" w:rsidR="1E67355C">
        <w:rPr>
          <w:sz w:val="22"/>
          <w:szCs w:val="22"/>
        </w:rPr>
        <w:t>stablecoins will significantly reduce community banks’ ability to support local lending needs. The projected $1.3 trillion reduction of the $4.8 trillion in total deposits held by community banks could result in an $850 billion decline in lending activity. These findings are also validated by independent research conducted by the Federal Reserve, which estimates that a high-adoption scenario could see $1 trillion in deposits leaving the banking system and a plunge in lending of $1.26 trillion</w:t>
      </w:r>
      <w:r w:rsidRPr="43F47D57" w:rsidR="1E67355C">
        <w:rPr>
          <w:sz w:val="22"/>
          <w:szCs w:val="22"/>
        </w:rPr>
        <w:t>.2</w:t>
      </w:r>
      <w:r w:rsidRPr="43F47D57" w:rsidR="1E67355C">
        <w:rPr>
          <w:sz w:val="22"/>
          <w:szCs w:val="22"/>
        </w:rPr>
        <w:t xml:space="preserve"> Treasury Secretary Bessent predicted that the total payment stablecoin market will reach $3 trillion3 by 2030.</w:t>
      </w:r>
    </w:p>
    <w:p w:rsidR="00B66C8D" w:rsidP="00B66C8D" w:rsidRDefault="00B66C8D" w14:paraId="7B8F94E3" w14:textId="77777777">
      <w:pPr>
        <w:spacing w:line="240" w:lineRule="auto"/>
        <w:ind w:left="0" w:right="0" w:firstLine="0"/>
        <w:rPr>
          <w:sz w:val="22"/>
          <w:szCs w:val="22"/>
        </w:rPr>
      </w:pPr>
    </w:p>
    <w:p w:rsidRPr="00B66C8D" w:rsidR="0088412B" w:rsidP="00B66C8D" w:rsidRDefault="0088412B" w14:paraId="0E2D08C7" w14:textId="3FB0C558">
      <w:pPr>
        <w:spacing w:line="240" w:lineRule="auto"/>
        <w:ind w:left="0" w:right="0" w:firstLine="0"/>
        <w:rPr>
          <w:sz w:val="22"/>
          <w:szCs w:val="22"/>
        </w:rPr>
      </w:pPr>
      <w:r w:rsidRPr="00B66C8D">
        <w:rPr>
          <w:sz w:val="22"/>
          <w:szCs w:val="22"/>
        </w:rPr>
        <w:t xml:space="preserve">America’s small businesses, farmers, ranchers, and rural communities stand to lose access to credit if this deposit flight occurs, stifling innovation and small business expansion, reducing job creation, and hindering economic growth in communities across the country. </w:t>
      </w:r>
    </w:p>
    <w:p w:rsidR="00B66C8D" w:rsidP="00B66C8D" w:rsidRDefault="00B66C8D" w14:paraId="0179FB77" w14:textId="77777777">
      <w:pPr>
        <w:spacing w:line="240" w:lineRule="auto"/>
        <w:ind w:left="0" w:right="0" w:firstLine="0"/>
        <w:rPr>
          <w:sz w:val="22"/>
          <w:szCs w:val="22"/>
        </w:rPr>
      </w:pPr>
    </w:p>
    <w:p w:rsidRPr="00B66C8D" w:rsidR="0088412B" w:rsidP="00B66C8D" w:rsidRDefault="0088412B" w14:paraId="20957C23" w14:textId="4EE34FD2">
      <w:pPr>
        <w:spacing w:line="240" w:lineRule="auto"/>
        <w:ind w:left="0" w:right="0" w:firstLine="0"/>
        <w:rPr>
          <w:sz w:val="22"/>
          <w:szCs w:val="22"/>
        </w:rPr>
      </w:pPr>
      <w:r w:rsidRPr="00B66C8D">
        <w:rPr>
          <w:sz w:val="22"/>
          <w:szCs w:val="22"/>
        </w:rPr>
        <w:t>Congress must balance financial innovation with the foundational role that bank deposits play in supporting lending, economic growth, and community development.</w:t>
      </w:r>
    </w:p>
    <w:p w:rsidR="00B66C8D" w:rsidP="00B66C8D" w:rsidRDefault="00B66C8D" w14:paraId="09E5B2A0" w14:textId="77777777">
      <w:pPr>
        <w:spacing w:line="240" w:lineRule="auto"/>
        <w:ind w:left="0" w:right="0" w:firstLine="0"/>
        <w:rPr>
          <w:b/>
          <w:bCs/>
          <w:sz w:val="22"/>
          <w:szCs w:val="22"/>
        </w:rPr>
      </w:pPr>
    </w:p>
    <w:p w:rsidRPr="00B66C8D" w:rsidR="0088412B" w:rsidP="00B66C8D" w:rsidRDefault="0088412B" w14:paraId="1577358A" w14:textId="00AD0D59">
      <w:pPr>
        <w:spacing w:line="240" w:lineRule="auto"/>
        <w:ind w:left="0" w:right="0" w:firstLine="0"/>
        <w:rPr>
          <w:b/>
          <w:bCs/>
          <w:sz w:val="22"/>
          <w:szCs w:val="22"/>
        </w:rPr>
      </w:pPr>
      <w:r w:rsidRPr="00B66C8D">
        <w:rPr>
          <w:b/>
          <w:bCs/>
          <w:sz w:val="22"/>
          <w:szCs w:val="22"/>
        </w:rPr>
        <w:t xml:space="preserve">Congress Must Amend Section </w:t>
      </w:r>
      <w:r w:rsidRPr="00B66C8D" w:rsidR="00400034">
        <w:rPr>
          <w:b/>
          <w:bCs/>
          <w:sz w:val="22"/>
          <w:szCs w:val="22"/>
        </w:rPr>
        <w:t>10</w:t>
      </w:r>
      <w:r w:rsidRPr="00B66C8D">
        <w:rPr>
          <w:b/>
          <w:bCs/>
          <w:sz w:val="22"/>
          <w:szCs w:val="22"/>
        </w:rPr>
        <w:t>404 of the CLARITY Act</w:t>
      </w:r>
    </w:p>
    <w:p w:rsidR="00B66C8D" w:rsidP="00B66C8D" w:rsidRDefault="00B66C8D" w14:paraId="7CF2775D" w14:textId="77777777">
      <w:pPr>
        <w:spacing w:line="240" w:lineRule="auto"/>
        <w:ind w:left="0" w:right="0" w:firstLine="0"/>
        <w:rPr>
          <w:sz w:val="22"/>
          <w:szCs w:val="22"/>
        </w:rPr>
      </w:pPr>
    </w:p>
    <w:p w:rsidRPr="00B66C8D" w:rsidR="0088412B" w:rsidP="00B66C8D" w:rsidRDefault="0088412B" w14:paraId="519AD565" w14:textId="5971C72A">
      <w:pPr>
        <w:spacing w:line="240" w:lineRule="auto"/>
        <w:ind w:left="0" w:right="0" w:firstLine="0"/>
        <w:rPr>
          <w:sz w:val="22"/>
          <w:szCs w:val="22"/>
        </w:rPr>
      </w:pPr>
      <w:r w:rsidRPr="00B66C8D">
        <w:rPr>
          <w:sz w:val="22"/>
          <w:szCs w:val="22"/>
        </w:rPr>
        <w:t xml:space="preserve">ICBA believes the prohibition on payments of interest or yield (Section </w:t>
      </w:r>
      <w:r w:rsidRPr="00B66C8D" w:rsidR="00400034">
        <w:rPr>
          <w:sz w:val="22"/>
          <w:szCs w:val="22"/>
        </w:rPr>
        <w:t>10</w:t>
      </w:r>
      <w:r w:rsidRPr="00B66C8D">
        <w:rPr>
          <w:sz w:val="22"/>
          <w:szCs w:val="22"/>
        </w:rPr>
        <w:t xml:space="preserve">404) is narrow and ineffective. The prohibition contains broad exceptions and open-ended rulemaking authority that would further undermine or contradict the general prohibition. The enforcement framework is inadequate to deter violations. </w:t>
      </w:r>
    </w:p>
    <w:p w:rsidRPr="00B66C8D" w:rsidR="00B66C8D" w:rsidP="00B66C8D" w:rsidRDefault="00B66C8D" w14:paraId="12A137F9" w14:textId="77777777">
      <w:pPr>
        <w:spacing w:line="240" w:lineRule="auto"/>
        <w:ind w:left="-5" w:right="0" w:hanging="10"/>
        <w:rPr>
          <w:b/>
          <w:sz w:val="22"/>
          <w:szCs w:val="22"/>
        </w:rPr>
      </w:pPr>
    </w:p>
    <w:p w:rsidRPr="00B66C8D" w:rsidR="0088412B" w:rsidP="00B66C8D" w:rsidRDefault="0088412B" w14:paraId="3BF97103" w14:textId="34CC09D0">
      <w:pPr>
        <w:spacing w:line="240" w:lineRule="auto"/>
        <w:ind w:left="-5" w:right="0" w:hanging="10"/>
        <w:rPr>
          <w:sz w:val="22"/>
          <w:szCs w:val="22"/>
        </w:rPr>
      </w:pPr>
      <w:r w:rsidRPr="00B66C8D">
        <w:rPr>
          <w:b/>
          <w:sz w:val="22"/>
          <w:szCs w:val="22"/>
        </w:rPr>
        <w:t xml:space="preserve">Key Talking Points </w:t>
      </w:r>
    </w:p>
    <w:p w:rsidRPr="00B66C8D" w:rsidR="0088412B" w:rsidP="00B66C8D" w:rsidRDefault="0088412B" w14:paraId="6B715A73" w14:textId="77777777">
      <w:pPr>
        <w:spacing w:line="240" w:lineRule="auto"/>
        <w:ind w:left="0" w:right="0" w:firstLine="0"/>
        <w:rPr>
          <w:sz w:val="22"/>
          <w:szCs w:val="22"/>
        </w:rPr>
      </w:pPr>
      <w:r w:rsidRPr="00B66C8D">
        <w:rPr>
          <w:sz w:val="22"/>
          <w:szCs w:val="22"/>
        </w:rPr>
        <w:t xml:space="preserve"> </w:t>
      </w:r>
    </w:p>
    <w:p w:rsidRPr="00B66C8D" w:rsidR="0088412B" w:rsidP="00B66C8D" w:rsidRDefault="0088412B" w14:paraId="76A7F039" w14:textId="77777777">
      <w:pPr>
        <w:numPr>
          <w:ilvl w:val="0"/>
          <w:numId w:val="4"/>
        </w:numPr>
        <w:spacing w:line="240" w:lineRule="auto"/>
        <w:ind w:right="49"/>
        <w:rPr>
          <w:sz w:val="22"/>
          <w:szCs w:val="22"/>
        </w:rPr>
      </w:pPr>
      <w:r w:rsidRPr="00B66C8D">
        <w:rPr>
          <w:b/>
          <w:sz w:val="22"/>
          <w:szCs w:val="22"/>
        </w:rPr>
        <w:t xml:space="preserve">Congress must </w:t>
      </w:r>
      <w:r w:rsidRPr="00B66C8D">
        <w:rPr>
          <w:b/>
          <w:color w:val="0D0D0D"/>
          <w:sz w:val="22"/>
          <w:szCs w:val="22"/>
        </w:rPr>
        <w:t xml:space="preserve">ensure the Clarity Act prohibition on payment of interest, yield, or “rewards” does not contain exceptions or loopholes. As </w:t>
      </w:r>
      <w:proofErr w:type="gramStart"/>
      <w:r w:rsidRPr="00B66C8D">
        <w:rPr>
          <w:b/>
          <w:color w:val="0D0D0D"/>
          <w:sz w:val="22"/>
          <w:szCs w:val="22"/>
        </w:rPr>
        <w:t>currently</w:t>
      </w:r>
      <w:proofErr w:type="gramEnd"/>
      <w:r w:rsidRPr="00B66C8D">
        <w:rPr>
          <w:b/>
          <w:color w:val="0D0D0D"/>
          <w:sz w:val="22"/>
          <w:szCs w:val="22"/>
        </w:rPr>
        <w:t xml:space="preserve"> drafted, the prohibition will be exploited and evaded by crypto entities.</w:t>
      </w:r>
    </w:p>
    <w:p w:rsidRPr="00B66C8D" w:rsidR="0088412B" w:rsidP="00B66C8D" w:rsidRDefault="0088412B" w14:paraId="23B7C40D" w14:textId="77777777">
      <w:pPr>
        <w:numPr>
          <w:ilvl w:val="0"/>
          <w:numId w:val="4"/>
        </w:numPr>
        <w:spacing w:line="240" w:lineRule="auto"/>
        <w:ind w:right="49"/>
        <w:rPr>
          <w:sz w:val="22"/>
          <w:szCs w:val="22"/>
        </w:rPr>
      </w:pPr>
      <w:r w:rsidRPr="00B66C8D">
        <w:rPr>
          <w:b/>
          <w:sz w:val="22"/>
          <w:szCs w:val="22"/>
        </w:rPr>
        <w:t>Research clearly demonstrates the harm to community bank lending.</w:t>
      </w:r>
      <w:r w:rsidRPr="00B66C8D">
        <w:rPr>
          <w:sz w:val="22"/>
          <w:szCs w:val="22"/>
        </w:rPr>
        <w:t xml:space="preserve"> Allowing yield-bearing payment stablecoins </w:t>
      </w:r>
      <w:proofErr w:type="gramStart"/>
      <w:r w:rsidRPr="00B66C8D">
        <w:rPr>
          <w:sz w:val="22"/>
          <w:szCs w:val="22"/>
        </w:rPr>
        <w:t>poses</w:t>
      </w:r>
      <w:proofErr w:type="gramEnd"/>
      <w:r w:rsidRPr="00B66C8D">
        <w:rPr>
          <w:sz w:val="22"/>
          <w:szCs w:val="22"/>
        </w:rPr>
        <w:t xml:space="preserve"> a significant threat of siphoning deposits away from community banks, which use local deposits to fund lending to Main Street and contribute directly to the expansion of the real economy. </w:t>
      </w:r>
    </w:p>
    <w:p w:rsidRPr="00B66C8D" w:rsidR="0088412B" w:rsidP="00B66C8D" w:rsidRDefault="0088412B" w14:paraId="5BE8FE9D" w14:textId="5BF916EE">
      <w:pPr>
        <w:numPr>
          <w:ilvl w:val="0"/>
          <w:numId w:val="4"/>
        </w:numPr>
        <w:spacing w:line="240" w:lineRule="auto"/>
        <w:ind w:right="49"/>
        <w:rPr>
          <w:sz w:val="22"/>
          <w:szCs w:val="22"/>
        </w:rPr>
      </w:pPr>
      <w:r w:rsidRPr="43F47D57" w:rsidR="1E67355C">
        <w:rPr>
          <w:sz w:val="22"/>
          <w:szCs w:val="22"/>
        </w:rPr>
        <w:t xml:space="preserve">Based on new macroeconomic modeling, ICBA estimates that the growth of the stablecoin market, supercharged from </w:t>
      </w:r>
      <w:r w:rsidRPr="43F47D57" w:rsidR="1E67355C">
        <w:rPr>
          <w:sz w:val="22"/>
          <w:szCs w:val="22"/>
        </w:rPr>
        <w:t>permitting</w:t>
      </w:r>
      <w:r w:rsidRPr="43F47D57" w:rsidR="1E67355C">
        <w:rPr>
          <w:sz w:val="22"/>
          <w:szCs w:val="22"/>
        </w:rPr>
        <w:t xml:space="preserve"> payment of yield, interest, or “rewards,” will significantly reduce community banks’ ability to support local lending needs. Deposits would be reduced by </w:t>
      </w:r>
      <w:r w:rsidRPr="43F47D57" w:rsidR="1E67355C">
        <w:rPr>
          <w:sz w:val="22"/>
          <w:szCs w:val="22"/>
        </w:rPr>
        <w:t>$1.3 trillion</w:t>
      </w:r>
      <w:r w:rsidRPr="43F47D57" w:rsidR="1E67355C">
        <w:rPr>
          <w:sz w:val="22"/>
          <w:szCs w:val="22"/>
        </w:rPr>
        <w:t xml:space="preserve"> (out of a total of </w:t>
      </w:r>
      <w:r w:rsidRPr="43F47D57" w:rsidR="1E67355C">
        <w:rPr>
          <w:sz w:val="22"/>
          <w:szCs w:val="22"/>
        </w:rPr>
        <w:t>$4.8 trillion</w:t>
      </w:r>
      <w:r w:rsidRPr="43F47D57" w:rsidR="1E67355C">
        <w:rPr>
          <w:sz w:val="22"/>
          <w:szCs w:val="22"/>
        </w:rPr>
        <w:t xml:space="preserve"> community bank deposits) and could reduce lending by </w:t>
      </w:r>
      <w:r w:rsidRPr="43F47D57" w:rsidR="1E67355C">
        <w:rPr>
          <w:sz w:val="22"/>
          <w:szCs w:val="22"/>
        </w:rPr>
        <w:t>$850 billion</w:t>
      </w:r>
      <w:r w:rsidRPr="43F47D57" w:rsidR="058EE2A3">
        <w:rPr>
          <w:sz w:val="22"/>
          <w:szCs w:val="22"/>
        </w:rPr>
        <w:t xml:space="preserve">. </w:t>
      </w:r>
    </w:p>
    <w:p w:rsidRPr="00B66C8D" w:rsidR="0088412B" w:rsidP="00B66C8D" w:rsidRDefault="0088412B" w14:paraId="147CA95A" w14:textId="77777777">
      <w:pPr>
        <w:numPr>
          <w:ilvl w:val="0"/>
          <w:numId w:val="4"/>
        </w:numPr>
        <w:spacing w:line="240" w:lineRule="auto"/>
        <w:ind w:right="49"/>
        <w:rPr>
          <w:sz w:val="22"/>
          <w:szCs w:val="22"/>
        </w:rPr>
      </w:pPr>
      <w:r w:rsidRPr="00B66C8D">
        <w:rPr>
          <w:sz w:val="22"/>
          <w:szCs w:val="22"/>
        </w:rPr>
        <w:t xml:space="preserve">As deposits and lending capacity shrink, America’s small businesses, farmers, ranchers, and rural communities will have reduced access to critical capital and credit that fits their unique needs and sustains their local economy. </w:t>
      </w:r>
    </w:p>
    <w:p w:rsidRPr="00B66C8D" w:rsidR="00F70ABF" w:rsidP="43F47D57" w:rsidRDefault="0088412B" w14:paraId="4E640999" w14:textId="7BA7B44A">
      <w:pPr>
        <w:numPr>
          <w:ilvl w:val="0"/>
          <w:numId w:val="4"/>
        </w:numPr>
        <w:spacing w:line="240" w:lineRule="auto"/>
        <w:ind w:right="49"/>
        <w:rPr>
          <w:rFonts w:eastAsia="Calibri"/>
          <w:sz w:val="22"/>
          <w:szCs w:val="22"/>
        </w:rPr>
      </w:pPr>
      <w:r w:rsidRPr="43F47D57" w:rsidR="1E67355C">
        <w:rPr>
          <w:color w:val="0D0D0D" w:themeColor="text1" w:themeTint="F2" w:themeShade="FF"/>
          <w:sz w:val="22"/>
          <w:szCs w:val="22"/>
        </w:rPr>
        <w:t xml:space="preserve">As highlighted in this Federal Reserve </w:t>
      </w:r>
      <w:hyperlink r:id="R2fdcf21bc8b44912">
        <w:r w:rsidRPr="43F47D57" w:rsidR="1E67355C">
          <w:rPr>
            <w:color w:val="0000FF"/>
            <w:sz w:val="22"/>
            <w:szCs w:val="22"/>
            <w:u w:val="single"/>
          </w:rPr>
          <w:t>research paper</w:t>
        </w:r>
      </w:hyperlink>
      <w:hyperlink r:id="R22f0c9ecacfb4ae3">
        <w:r w:rsidRPr="43F47D57" w:rsidR="1E67355C">
          <w:rPr>
            <w:sz w:val="22"/>
            <w:szCs w:val="22"/>
          </w:rPr>
          <w:t>,</w:t>
        </w:r>
      </w:hyperlink>
      <w:r w:rsidRPr="43F47D57" w:rsidR="1E67355C">
        <w:rPr>
          <w:sz w:val="22"/>
          <w:szCs w:val="22"/>
        </w:rPr>
        <w:t xml:space="preserve"> </w:t>
      </w:r>
      <w:r w:rsidRPr="43F47D57" w:rsidR="1E67355C">
        <w:rPr>
          <w:color w:val="0D0D0D" w:themeColor="text1" w:themeTint="F2" w:themeShade="FF"/>
          <w:sz w:val="22"/>
          <w:szCs w:val="22"/>
        </w:rPr>
        <w:t xml:space="preserve">as bank deposits </w:t>
      </w:r>
      <w:r w:rsidRPr="43F47D57" w:rsidR="1E67355C">
        <w:rPr>
          <w:sz w:val="22"/>
          <w:szCs w:val="22"/>
        </w:rPr>
        <w:t>substitute into stablecoins, community banks would be forced to turn to more concentrated, uninsured, wholesale deposits — increasing both liquidity risk and funding costs. These pressures will lead to declining bank credit. Reduced access to credit would be particularly felt by small businesses that rely on community-bank relationship banking</w:t>
      </w:r>
      <w:r w:rsidRPr="43F47D57" w:rsidR="5363801D">
        <w:rPr>
          <w:sz w:val="22"/>
          <w:szCs w:val="22"/>
        </w:rPr>
        <w:t xml:space="preserve">. </w:t>
      </w:r>
    </w:p>
    <w:sectPr w:rsidRPr="00B66C8D" w:rsidR="00F70ABF" w:rsidSect="003D38FD">
      <w:headerReference w:type="even" r:id="rId13"/>
      <w:headerReference w:type="default" r:id="rId14"/>
      <w:footerReference w:type="even" r:id="rId15"/>
      <w:footerReference w:type="default" r:id="rId16"/>
      <w:headerReference w:type="first" r:id="rId17"/>
      <w:footerReference w:type="first" r:id="rId18"/>
      <w:type w:val="continuous"/>
      <w:pgSz w:w="12240" w:h="15840" w:orient="portrait"/>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515B" w:rsidP="00F04057" w:rsidRDefault="0083515B" w14:paraId="7BA24BC5" w14:textId="77777777">
      <w:r>
        <w:separator/>
      </w:r>
    </w:p>
    <w:p w:rsidR="0083515B" w:rsidRDefault="0083515B" w14:paraId="1C41AD9E" w14:textId="77777777"/>
  </w:endnote>
  <w:endnote w:type="continuationSeparator" w:id="0">
    <w:p w:rsidR="0083515B" w:rsidP="00F04057" w:rsidRDefault="0083515B" w14:paraId="20C06C14" w14:textId="77777777">
      <w:r>
        <w:continuationSeparator/>
      </w:r>
    </w:p>
    <w:p w:rsidR="0083515B" w:rsidRDefault="0083515B" w14:paraId="10FF00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P="00D570F4" w:rsidRDefault="0074747E" w14:paraId="2A230CD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DB00F63"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064B11CD" w14:textId="77777777">
    <w:pPr>
      <w:ind w:right="360"/>
    </w:pPr>
  </w:p>
  <w:p w:rsidR="008C2410" w:rsidRDefault="008C2410" w14:paraId="08F687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13F4BB99" w14:textId="77777777">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546CAE" w14:paraId="673D94F6" w14:textId="77777777">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515B" w:rsidP="00F04057" w:rsidRDefault="0083515B" w14:paraId="57B2391F" w14:textId="77777777">
      <w:r>
        <w:separator/>
      </w:r>
    </w:p>
    <w:p w:rsidR="0083515B" w:rsidRDefault="0083515B" w14:paraId="6B46379F" w14:textId="77777777"/>
  </w:footnote>
  <w:footnote w:type="continuationSeparator" w:id="0">
    <w:p w:rsidR="0083515B" w:rsidP="00F04057" w:rsidRDefault="0083515B" w14:paraId="04BE183A" w14:textId="77777777">
      <w:r>
        <w:continuationSeparator/>
      </w:r>
    </w:p>
    <w:p w:rsidR="0083515B" w:rsidRDefault="0083515B" w14:paraId="0BB4299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3E8D784F" w14:textId="77777777">
    <w:pPr>
      <w:pStyle w:val="Header"/>
    </w:pPr>
  </w:p>
  <w:p w:rsidR="008C2410" w:rsidRDefault="008C2410" w14:paraId="544D3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2B824C07" w14:textId="77777777">
    <w:pPr>
      <w:pStyle w:val="Header"/>
    </w:pPr>
  </w:p>
  <w:p w:rsidR="008C2410" w:rsidRDefault="008C2410" w14:paraId="40AB79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546CAE" w14:paraId="21D401D4" w14:textId="77777777">
    <w:r>
      <w:rPr>
        <w:noProof/>
      </w:rPr>
      <w:drawing>
        <wp:inline distT="0" distB="0" distL="0" distR="0" wp14:anchorId="13FD8BD5" wp14:editId="524B7B43">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intelligence2.xml><?xml version="1.0" encoding="utf-8"?>
<int2:intelligence xmlns:int2="http://schemas.microsoft.com/office/intelligence/2020/intelligence">
  <int2:observations>
    <int2:bookmark int2:bookmarkName="_Int_wRHkoZK8" int2:invalidationBookmarkName="" int2:hashCode="mN7WYPp/JzbOmm" int2:id="iMNgLJU3">
      <int2:state int2:type="style" int2:value="Rejected"/>
    </int2:bookmark>
    <int2:bookmark int2:bookmarkName="_Int_iJkH7I0s" int2:invalidationBookmarkName="" int2:hashCode="HB3931Ojy1mElS" int2:id="XAdTJvvi">
      <int2:state int2:type="style" int2:value="Rejected"/>
    </int2:bookmark>
    <int2:bookmark int2:bookmarkName="_Int_Bv0EqtmS" int2:invalidationBookmarkName="" int2:hashCode="Xoqo3+ylO1NGRd" int2:id="edVshBvw">
      <int2:state int2:type="style" int2:value="Rejected"/>
    </int2:bookmark>
    <int2:bookmark int2:bookmarkName="_Int_Ufb43iDg" int2:invalidationBookmarkName="" int2:hashCode="Xoqo3+ylO1NGRd" int2:id="3RdJLyT9">
      <int2:state int2:type="style" int2:value="Rejected"/>
    </int2:bookmark>
    <int2:bookmark int2:bookmarkName="_Int_bnreVqdk" int2:invalidationBookmarkName="" int2:hashCode="RULgkBqcAQLHDH" int2:id="3aZrvvnN">
      <int2:state int2:type="style" int2:value="Rejected"/>
    </int2:bookmark>
    <int2:bookmark int2:bookmarkName="_Int_OZop8xou" int2:invalidationBookmarkName="" int2:hashCode="6GJWsnh+5/8MM9" int2:id="4FAviHuF">
      <int2:state int2:type="gram" int2:value="Rejected"/>
    </int2:bookmark>
    <int2:bookmark int2:bookmarkName="_Int_M3Zgdb6k" int2:invalidationBookmarkName="" int2:hashCode="9ZYGNCUsPtBh3l" int2:id="HH4B2wRg">
      <int2:state int2:type="gram" int2:value="Rejected"/>
    </int2:bookmark>
    <int2:bookmark int2:bookmarkName="_Int_SqWhOT2M" int2:invalidationBookmarkName="" int2:hashCode="6GJWsnh+5/8MM9" int2:id="o0Z05GNs">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A023B1B"/>
    <w:multiLevelType w:val="hybridMultilevel"/>
    <w:tmpl w:val="343E7CF0"/>
    <w:lvl w:ilvl="0" w:tplc="6D6AEC82">
      <w:start w:val="1"/>
      <w:numFmt w:val="bullet"/>
      <w:pStyle w:val="BulletPoints"/>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5AD31011"/>
    <w:multiLevelType w:val="hybridMultilevel"/>
    <w:tmpl w:val="F9E097CC"/>
    <w:lvl w:ilvl="0" w:tplc="0EDED64E">
      <w:start w:val="1"/>
      <w:numFmt w:val="bullet"/>
      <w:lvlText w:val="•"/>
      <w:lvlJc w:val="left"/>
      <w:pPr>
        <w:ind w:left="36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1" w:tplc="31085F58">
      <w:start w:val="1"/>
      <w:numFmt w:val="bullet"/>
      <w:lvlText w:val="o"/>
      <w:lvlJc w:val="left"/>
      <w:pPr>
        <w:ind w:left="108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2" w:tplc="0968557A">
      <w:start w:val="1"/>
      <w:numFmt w:val="bullet"/>
      <w:lvlText w:val="▪"/>
      <w:lvlJc w:val="left"/>
      <w:pPr>
        <w:ind w:left="18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3" w:tplc="AFFAB7BC">
      <w:start w:val="1"/>
      <w:numFmt w:val="bullet"/>
      <w:lvlText w:val="•"/>
      <w:lvlJc w:val="left"/>
      <w:pPr>
        <w:ind w:left="252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4" w:tplc="1B26BF4E">
      <w:start w:val="1"/>
      <w:numFmt w:val="bullet"/>
      <w:lvlText w:val="o"/>
      <w:lvlJc w:val="left"/>
      <w:pPr>
        <w:ind w:left="324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5" w:tplc="BEF41B52">
      <w:start w:val="1"/>
      <w:numFmt w:val="bullet"/>
      <w:lvlText w:val="▪"/>
      <w:lvlJc w:val="left"/>
      <w:pPr>
        <w:ind w:left="396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6" w:tplc="78FA8686">
      <w:start w:val="1"/>
      <w:numFmt w:val="bullet"/>
      <w:lvlText w:val="•"/>
      <w:lvlJc w:val="left"/>
      <w:pPr>
        <w:ind w:left="468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7" w:tplc="4B461E9A">
      <w:start w:val="1"/>
      <w:numFmt w:val="bullet"/>
      <w:lvlText w:val="o"/>
      <w:lvlJc w:val="left"/>
      <w:pPr>
        <w:ind w:left="54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8" w:tplc="537A037E">
      <w:start w:val="1"/>
      <w:numFmt w:val="bullet"/>
      <w:lvlText w:val="▪"/>
      <w:lvlJc w:val="left"/>
      <w:pPr>
        <w:ind w:left="612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abstractNum>
  <w:num w:numId="1" w16cid:durableId="1181167481">
    <w:abstractNumId w:val="0"/>
  </w:num>
  <w:num w:numId="2" w16cid:durableId="713506399">
    <w:abstractNumId w:val="1"/>
  </w:num>
  <w:num w:numId="3" w16cid:durableId="1403410460">
    <w:abstractNumId w:val="2"/>
  </w:num>
  <w:num w:numId="4" w16cid:durableId="152524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B"/>
    <w:rsid w:val="00043E1F"/>
    <w:rsid w:val="0008171B"/>
    <w:rsid w:val="000D1FBB"/>
    <w:rsid w:val="00137765"/>
    <w:rsid w:val="00145BC9"/>
    <w:rsid w:val="00156C6C"/>
    <w:rsid w:val="001705D2"/>
    <w:rsid w:val="001F34CA"/>
    <w:rsid w:val="00222561"/>
    <w:rsid w:val="002273ED"/>
    <w:rsid w:val="00254DBF"/>
    <w:rsid w:val="002A437B"/>
    <w:rsid w:val="002D0110"/>
    <w:rsid w:val="00317F0F"/>
    <w:rsid w:val="00326FCE"/>
    <w:rsid w:val="00351CA4"/>
    <w:rsid w:val="003D0EF0"/>
    <w:rsid w:val="003D38FD"/>
    <w:rsid w:val="00400034"/>
    <w:rsid w:val="004303FB"/>
    <w:rsid w:val="00467712"/>
    <w:rsid w:val="004711B7"/>
    <w:rsid w:val="00481CC6"/>
    <w:rsid w:val="00496577"/>
    <w:rsid w:val="004F50F7"/>
    <w:rsid w:val="00514325"/>
    <w:rsid w:val="00546CAE"/>
    <w:rsid w:val="0054787C"/>
    <w:rsid w:val="00555D6B"/>
    <w:rsid w:val="00557EAB"/>
    <w:rsid w:val="00563863"/>
    <w:rsid w:val="00564AC3"/>
    <w:rsid w:val="00585B22"/>
    <w:rsid w:val="005A5317"/>
    <w:rsid w:val="005C391A"/>
    <w:rsid w:val="005D17CC"/>
    <w:rsid w:val="005E0150"/>
    <w:rsid w:val="00627249"/>
    <w:rsid w:val="00657A60"/>
    <w:rsid w:val="00692401"/>
    <w:rsid w:val="00724E77"/>
    <w:rsid w:val="00745462"/>
    <w:rsid w:val="0074747E"/>
    <w:rsid w:val="00786F6C"/>
    <w:rsid w:val="0079721A"/>
    <w:rsid w:val="007E0F52"/>
    <w:rsid w:val="00806E33"/>
    <w:rsid w:val="00815A4F"/>
    <w:rsid w:val="0083515B"/>
    <w:rsid w:val="008417DA"/>
    <w:rsid w:val="00843560"/>
    <w:rsid w:val="00861085"/>
    <w:rsid w:val="00861B79"/>
    <w:rsid w:val="00870C25"/>
    <w:rsid w:val="0088412B"/>
    <w:rsid w:val="008B1724"/>
    <w:rsid w:val="008C1D0F"/>
    <w:rsid w:val="008C2410"/>
    <w:rsid w:val="008D5943"/>
    <w:rsid w:val="008E4864"/>
    <w:rsid w:val="008E5947"/>
    <w:rsid w:val="00913AD4"/>
    <w:rsid w:val="00920109"/>
    <w:rsid w:val="009415E0"/>
    <w:rsid w:val="00944278"/>
    <w:rsid w:val="00960C41"/>
    <w:rsid w:val="00974E34"/>
    <w:rsid w:val="009B2A8B"/>
    <w:rsid w:val="009E39E5"/>
    <w:rsid w:val="00A36958"/>
    <w:rsid w:val="00A5057C"/>
    <w:rsid w:val="00A5500A"/>
    <w:rsid w:val="00A95DB2"/>
    <w:rsid w:val="00AD50D1"/>
    <w:rsid w:val="00B2474A"/>
    <w:rsid w:val="00B3191C"/>
    <w:rsid w:val="00B66C8D"/>
    <w:rsid w:val="00BC27E9"/>
    <w:rsid w:val="00BD570D"/>
    <w:rsid w:val="00C0028B"/>
    <w:rsid w:val="00C473CC"/>
    <w:rsid w:val="00C873CD"/>
    <w:rsid w:val="00C942EA"/>
    <w:rsid w:val="00C966E9"/>
    <w:rsid w:val="00CD0AA8"/>
    <w:rsid w:val="00CD518B"/>
    <w:rsid w:val="00CD7392"/>
    <w:rsid w:val="00CD7409"/>
    <w:rsid w:val="00D4190C"/>
    <w:rsid w:val="00D5070F"/>
    <w:rsid w:val="00D87856"/>
    <w:rsid w:val="00E102FE"/>
    <w:rsid w:val="00E24DE8"/>
    <w:rsid w:val="00E627B7"/>
    <w:rsid w:val="00ED1B1F"/>
    <w:rsid w:val="00EF2717"/>
    <w:rsid w:val="00F03C8B"/>
    <w:rsid w:val="00F04057"/>
    <w:rsid w:val="00F539F3"/>
    <w:rsid w:val="00F70ABF"/>
    <w:rsid w:val="00F968F5"/>
    <w:rsid w:val="00FA365E"/>
    <w:rsid w:val="00FB316E"/>
    <w:rsid w:val="00FD4C94"/>
    <w:rsid w:val="00FE7C44"/>
    <w:rsid w:val="058EE2A3"/>
    <w:rsid w:val="1E67355C"/>
    <w:rsid w:val="1F72667F"/>
    <w:rsid w:val="270FC17B"/>
    <w:rsid w:val="43F47D57"/>
    <w:rsid w:val="500C7996"/>
    <w:rsid w:val="53638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1708"/>
  <w15:docId w15:val="{DC059028-1722-4E01-91AB-504C8602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12B"/>
    <w:pPr>
      <w:widowControl/>
      <w:autoSpaceDE/>
      <w:autoSpaceDN/>
      <w:spacing w:line="276" w:lineRule="auto"/>
      <w:ind w:left="370" w:right="28" w:hanging="370"/>
    </w:pPr>
    <w:rPr>
      <w:rFonts w:ascii="Arial" w:hAnsi="Arial" w:eastAsia="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08171B"/>
    <w:pPr>
      <w:keepNext/>
      <w:keepLines/>
      <w:spacing w:after="360" w:line="600" w:lineRule="exact"/>
      <w:outlineLvl w:val="0"/>
    </w:pPr>
    <w:rPr>
      <w:color w:val="000000" w:themeColor="text1"/>
      <w:spacing w:val="10"/>
      <w:sz w:val="52"/>
      <w:szCs w:val="36"/>
    </w:rPr>
  </w:style>
  <w:style w:type="paragraph" w:styleId="Heading2">
    <w:name w:val="heading 2"/>
    <w:aliases w:val="Intros"/>
    <w:basedOn w:val="Normal"/>
    <w:link w:val="Heading2Char"/>
    <w:uiPriority w:val="9"/>
    <w:qFormat/>
    <w:rsid w:val="008417DA"/>
    <w:pPr>
      <w:outlineLvl w:val="1"/>
    </w:pPr>
    <w:rPr>
      <w:sz w:val="28"/>
      <w:szCs w:val="28"/>
    </w:rPr>
  </w:style>
  <w:style w:type="paragraph" w:styleId="Heading3">
    <w:name w:val="heading 3"/>
    <w:basedOn w:val="Normal"/>
    <w:next w:val="Normal"/>
    <w:link w:val="Heading3Char"/>
    <w:uiPriority w:val="9"/>
    <w:unhideWhenUsed/>
    <w:rsid w:val="00D87856"/>
    <w:pPr>
      <w:keepNext/>
      <w:keepLines/>
      <w:spacing w:before="40"/>
      <w:outlineLvl w:val="2"/>
    </w:pPr>
    <w:rPr>
      <w:rFonts w:ascii="Calibri" w:hAnsi="Calibri" w:cs="Calibri"/>
      <w:b/>
      <w:bCs/>
      <w:color w:val="002060"/>
    </w:rPr>
  </w:style>
  <w:style w:type="paragraph" w:styleId="Heading4">
    <w:name w:val="heading 4"/>
    <w:aliases w:val="Subheads"/>
    <w:basedOn w:val="Normal"/>
    <w:next w:val="Normal"/>
    <w:link w:val="Heading4Char"/>
    <w:uiPriority w:val="9"/>
    <w:unhideWhenUsed/>
    <w:qFormat/>
    <w:rsid w:val="000D1FBB"/>
    <w:pPr>
      <w:spacing w:after="120"/>
      <w:outlineLvl w:val="3"/>
    </w:pPr>
    <w:rPr>
      <w:b/>
      <w:bCs/>
      <w:sz w:val="20"/>
      <w:szCs w:val="20"/>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B2474A"/>
    <w:pPr>
      <w:numPr>
        <w:numId w:val="3"/>
      </w:numPr>
      <w:spacing w:before="240" w:after="240" w:line="280" w:lineRule="exact"/>
      <w:ind w:right="360"/>
      <w:contextualSpacing/>
    </w:p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spacing w:after="225"/>
      <w:jc w:val="both"/>
    </w:pPr>
    <w:rPr>
      <w:sz w:val="20"/>
      <w:szCs w:val="20"/>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uiPriority w:val="34"/>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08171B"/>
    <w:rPr>
      <w:rFonts w:ascii="Arial" w:hAnsi="Arial" w:eastAsia="Times New Roman" w:cs="Arial"/>
      <w:color w:val="000000" w:themeColor="text1"/>
      <w:spacing w:val="10"/>
      <w:sz w:val="52"/>
      <w:szCs w:val="36"/>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ind w:left="370" w:hanging="37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adjustRightInd w:val="0"/>
      <w:spacing w:line="288" w:lineRule="auto"/>
      <w:textAlignment w:val="center"/>
    </w:pPr>
    <w:rPr>
      <w:rFonts w:ascii="MinionPro-Regular" w:hAnsi="MinionPro-Regular" w:cs="MinionPro-Regular" w:eastAsiaTheme="minorHAnsi"/>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pPr>
    <w:rPr>
      <w:rFonts w:asciiTheme="minorHAnsi" w:hAnsiTheme="minorHAnsi" w:eastAsiaTheme="minorHAnsi" w:cstheme="minorHAnsi"/>
      <w:b/>
      <w:bCs/>
    </w:rPr>
  </w:style>
  <w:style w:type="paragraph" w:styleId="HeadersSlugs" w:customStyle="1">
    <w:name w:val="Headers / Slugs"/>
    <w:basedOn w:val="Heading1"/>
    <w:qFormat/>
    <w:rsid w:val="00B2474A"/>
    <w:pPr>
      <w:spacing w:after="160" w:line="240" w:lineRule="auto"/>
    </w:pPr>
    <w:rPr>
      <w:b/>
      <w:sz w:val="24"/>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pPr>
    <w:rPr>
      <w:rFonts w:asciiTheme="minorHAnsi" w:hAnsiTheme="minorHAnsi" w:eastAsiaTheme="minorEastAsia" w:cstheme="minorBidi"/>
      <w:lang w:eastAsia="zh-CN"/>
    </w:rPr>
  </w:style>
  <w:style w:type="character" w:styleId="FooterChar" w:customStyle="1">
    <w:name w:val="Footer Char"/>
    <w:basedOn w:val="DefaultParagraphFont"/>
    <w:link w:val="Footer"/>
    <w:uiPriority w:val="99"/>
    <w:rsid w:val="00546CAE"/>
    <w:rPr>
      <w:rFonts w:eastAsiaTheme="minorEastAsia"/>
      <w:lang w:eastAsia="zh-CN"/>
    </w:rPr>
  </w:style>
  <w:style w:type="paragraph" w:styleId="Revision">
    <w:name w:val="Revision"/>
    <w:hidden/>
    <w:uiPriority w:val="99"/>
    <w:semiHidden/>
    <w:rsid w:val="00913AD4"/>
    <w:pPr>
      <w:widowControl/>
      <w:autoSpaceDE/>
      <w:autoSpaceDN/>
    </w:pPr>
    <w:rPr>
      <w:rFonts w:ascii="Arial" w:hAnsi="Arial" w:eastAsia="Arial" w:cs="Arial"/>
      <w:color w:val="00000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1768378338">
          <w:marLeft w:val="432"/>
          <w:marRight w:val="216"/>
          <w:marTop w:val="0"/>
          <w:marBottom w:val="0"/>
          <w:divBdr>
            <w:top w:val="none" w:sz="0" w:space="0" w:color="auto"/>
            <w:left w:val="none" w:sz="0" w:space="0" w:color="auto"/>
            <w:bottom w:val="none" w:sz="0" w:space="0" w:color="auto"/>
            <w:right w:val="none" w:sz="0" w:space="0" w:color="auto"/>
          </w:divBdr>
        </w:div>
        <w:div w:id="530845204">
          <w:marLeft w:val="216"/>
          <w:marRight w:val="432"/>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www.federalreserve.gov/econres/notes/feds-notes/banks-in-the-age-of-stablecoins-implications-for-deposits-credit-and-financial-intermediation-20251217.html" TargetMode="External" Id="R2fdcf21bc8b44912" /><Relationship Type="http://schemas.openxmlformats.org/officeDocument/2006/relationships/hyperlink" Target="https://www.federalreserve.gov/econres/notes/feds-notes/banks-in-the-age-of-stablecoins-implications-for-deposits-credit-and-financial-intermediation-20251217.html" TargetMode="External" Id="R22f0c9ecacfb4ae3" /><Relationship Type="http://schemas.microsoft.com/office/2020/10/relationships/intelligence" Target="intelligence2.xml" Id="Rc693c6609ac44d8e"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DIGITAL-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c345e2f-c454-4e8c-b48e-e496fd5664fc">
      <Terms xmlns="http://schemas.microsoft.com/office/infopath/2007/PartnerControls"/>
    </lcf76f155ced4ddcb4097134ff3c332f>
    <TaxCatchAll xmlns="54069256-e3ab-48b9-a674-d348a06f16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2.xml><?xml version="1.0" encoding="utf-8"?>
<ds:datastoreItem xmlns:ds="http://schemas.openxmlformats.org/officeDocument/2006/customXml" ds:itemID="{5D274539-A69B-4DE8-924C-670718FE12D4}">
  <ds:schemaRefs>
    <ds:schemaRef ds:uri="http://schemas.microsoft.com/sharepoint/v3/contenttype/forms"/>
  </ds:schemaRefs>
</ds:datastoreItem>
</file>

<file path=customXml/itemProps3.xml><?xml version="1.0" encoding="utf-8"?>
<ds:datastoreItem xmlns:ds="http://schemas.openxmlformats.org/officeDocument/2006/customXml" ds:itemID="{AFF4A89A-C11A-4BB4-A4DE-98FC24DA3997}">
  <ds:schemaRefs>
    <ds:schemaRef ds:uri="http://schemas.microsoft.com/office/2006/metadata/properties"/>
    <ds:schemaRef ds:uri="http://schemas.microsoft.com/office/infopath/2007/PartnerControls"/>
    <ds:schemaRef ds:uri="http://schemas.microsoft.com/sharepoint/v3"/>
    <ds:schemaRef ds:uri="bc345e2f-c454-4e8c-b48e-e496fd5664fc"/>
    <ds:schemaRef ds:uri="54069256-e3ab-48b9-a674-d348a06f1628"/>
  </ds:schemaRefs>
</ds:datastoreItem>
</file>

<file path=customXml/itemProps4.xml><?xml version="1.0" encoding="utf-8"?>
<ds:datastoreItem xmlns:ds="http://schemas.openxmlformats.org/officeDocument/2006/customXml" ds:itemID="{CA797EE7-344D-42BC-90BA-3CA06BC7D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ICBA Letterhead DIGITAL-new</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Alan Keller</dc:creator>
  <lastModifiedBy>Carla Taylor-Badawu</lastModifiedBy>
  <revision>3</revision>
  <dcterms:created xsi:type="dcterms:W3CDTF">2026-09-01T15:39:00.0000000Z</dcterms:created>
  <dcterms:modified xsi:type="dcterms:W3CDTF">2026-09-02T14:48:55.5585992Z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