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0579E" w:rsidR="0000579E" w:rsidP="0000579E" w:rsidRDefault="0000579E" w14:paraId="383A1753" w14:textId="1A874A9A">
      <w:pPr>
        <w:jc w:val="right"/>
        <w:rPr>
          <w:b/>
          <w:bCs/>
          <w:color w:val="0D0D0D" w:themeColor="text1" w:themeTint="F2"/>
        </w:rPr>
      </w:pPr>
      <w:r w:rsidRPr="0000579E">
        <w:rPr>
          <w:b/>
          <w:bCs/>
          <w:noProof/>
          <w:color w:val="0D0D0D" w:themeColor="text1" w:themeTint="F2"/>
          <w14:ligatures w14:val="none"/>
        </w:rPr>
        <mc:AlternateContent>
          <mc:Choice Requires="wps">
            <w:drawing>
              <wp:anchor distT="0" distB="0" distL="114300" distR="114300" simplePos="0" relativeHeight="251659264" behindDoc="0" locked="0" layoutInCell="1" allowOverlap="1" wp14:anchorId="47CA1C48" wp14:editId="6053DBDB">
                <wp:simplePos x="0" y="0"/>
                <wp:positionH relativeFrom="column">
                  <wp:posOffset>6350</wp:posOffset>
                </wp:positionH>
                <wp:positionV relativeFrom="paragraph">
                  <wp:posOffset>-209550</wp:posOffset>
                </wp:positionV>
                <wp:extent cx="6362700" cy="19050"/>
                <wp:effectExtent l="0" t="0" r="19050" b="19050"/>
                <wp:wrapNone/>
                <wp:docPr id="2117042021" name="Straight Connector 1"/>
                <wp:cNvGraphicFramePr/>
                <a:graphic xmlns:a="http://schemas.openxmlformats.org/drawingml/2006/main">
                  <a:graphicData uri="http://schemas.microsoft.com/office/word/2010/wordprocessingShape">
                    <wps:wsp>
                      <wps:cNvCnPr/>
                      <wps:spPr>
                        <a:xfrm flipV="1">
                          <a:off x="0" y="0"/>
                          <a:ext cx="63627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5pt,-16.5pt" to="501.5pt,-15pt" w14:anchorId="23B92E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4tqgEAAKIDAAAOAAAAZHJzL2Uyb0RvYy54bWysU8tu2zAQvAfIPxC8x5Id1E0EyzkkSC9B&#10;GyRt7gy1tAjwBZK15L/vcmUrRRsUaNELwcfO7M7scnMzWsP2EJP2ruXLRc0ZOOk77XYt//b1/uKK&#10;s5SF64TxDlp+gMRvtudnmyE0sPK9Nx1EhiQuNUNoeZ9zaKoqyR6sSAsfwOGj8tGKjMe4q7ooBmS3&#10;plrV9boafOxC9BJSwtu76ZFviV8pkPmLUgkyMy3H2jKtkdbXslbbjWh2UYRey2MZ4h+qsEI7TDpT&#10;3Yks2Peof6OyWkafvMoL6W3lldISSAOqWda/qHnuRQDSguakMNuU/h+t/Ly/dY8RbRhCalJ4jEXF&#10;qKJlyujwgj0lXVgpG8m2w2wbjJlJvFxfrlcfa3RX4tvyuv5AtlYTTaELMeVP4C0rm5Yb7Yoq0Yj9&#10;Q8qYGkNPIXh4K4R2+WCgBBv3BIrpDhNOJdGMwK2JbC+wu0JKcHlZOop8FF1gShszA2tK+0fgMb5A&#10;gebnb8AzgjJ7l2ew1c7H97Ln8VSymuJPDky6iwWvvjtQi8gaHARSeBzaMmk/nwn+9rW2PwAAAP//&#10;AwBQSwMEFAAGAAgAAAAhAJ/Y9SvZAAAACgEAAA8AAABkcnMvZG93bnJldi54bWxMT0FOwzAQvCPx&#10;B2uRuLV2W4RQiFMhSs+IUiSObrxNUux1ZLtt8ns2J7jN7IxmZ8r14J24YExdIA2LuQKBVAfbUaNh&#10;/7mdPYFI2ZA1LhBqGDHBurq9KU1hw5U+8LLLjeAQSoXR0ObcF1KmukVv0jz0SKwdQ/QmM42NtNFc&#10;Odw7uVTqUXrTEX9oTY+vLdY/u7PXkFzzdhq/xrBZ2jhutukb3xcPWt/fDS/PIDIO+c8MU32uDhV3&#10;OoQz2SQcc16SNcxWKwaTrtSEDtNJKZBVKf9PqH4BAAD//wMAUEsBAi0AFAAGAAgAAAAhALaDOJL+&#10;AAAA4QEAABMAAAAAAAAAAAAAAAAAAAAAAFtDb250ZW50X1R5cGVzXS54bWxQSwECLQAUAAYACAAA&#10;ACEAOP0h/9YAAACUAQAACwAAAAAAAAAAAAAAAAAvAQAAX3JlbHMvLnJlbHNQSwECLQAUAAYACAAA&#10;ACEAXN6OLaoBAACiAwAADgAAAAAAAAAAAAAAAAAuAgAAZHJzL2Uyb0RvYy54bWxQSwECLQAUAAYA&#10;CAAAACEAn9j1K9kAAAAKAQAADwAAAAAAAAAAAAAAAAAEBAAAZHJzL2Rvd25yZXYueG1sUEsFBgAA&#10;AAAEAAQA8wAAAAoFAAAAAA==&#10;"/>
            </w:pict>
          </mc:Fallback>
        </mc:AlternateContent>
      </w:r>
      <w:r w:rsidRPr="0000579E">
        <w:rPr>
          <w:b/>
          <w:bCs/>
          <w:color w:val="0D0D0D" w:themeColor="text1" w:themeTint="F2"/>
        </w:rPr>
        <w:t>September 2026</w:t>
      </w:r>
    </w:p>
    <w:p w:rsidRPr="0000579E" w:rsidR="0000579E" w:rsidP="00606AA7" w:rsidRDefault="0000579E" w14:paraId="67172733" w14:textId="77777777">
      <w:pPr>
        <w:rPr>
          <w:b/>
          <w:bCs/>
          <w:color w:val="0D0D0D" w:themeColor="text1" w:themeTint="F2"/>
        </w:rPr>
      </w:pPr>
    </w:p>
    <w:p w:rsidRPr="0000579E" w:rsidR="00606AA7" w:rsidP="00606AA7" w:rsidRDefault="00606AA7" w14:paraId="166E275A" w14:textId="279DAD89">
      <w:pPr>
        <w:rPr>
          <w:rFonts w:eastAsia="Times New Roman"/>
          <w:b/>
          <w:bCs/>
          <w:color w:val="0D0D0D" w:themeColor="text1" w:themeTint="F2"/>
          <w:kern w:val="0"/>
          <w14:ligatures w14:val="none"/>
        </w:rPr>
      </w:pPr>
      <w:r w:rsidRPr="0000579E">
        <w:rPr>
          <w:b/>
          <w:bCs/>
          <w:color w:val="0D0D0D" w:themeColor="text1" w:themeTint="F2"/>
        </w:rPr>
        <w:t>ICBA</w:t>
      </w:r>
      <w:r w:rsidRPr="0000579E">
        <w:rPr>
          <w:b/>
          <w:bCs/>
          <w:color w:val="0D0D0D" w:themeColor="text1" w:themeTint="F2"/>
          <w:spacing w:val="-5"/>
        </w:rPr>
        <w:t xml:space="preserve"> </w:t>
      </w:r>
      <w:r w:rsidRPr="0000579E">
        <w:rPr>
          <w:b/>
          <w:bCs/>
          <w:color w:val="0D0D0D" w:themeColor="text1" w:themeTint="F2"/>
        </w:rPr>
        <w:t>Legislative</w:t>
      </w:r>
      <w:r w:rsidRPr="0000579E">
        <w:rPr>
          <w:b/>
          <w:bCs/>
          <w:color w:val="0D0D0D" w:themeColor="text1" w:themeTint="F2"/>
          <w:spacing w:val="-4"/>
        </w:rPr>
        <w:t xml:space="preserve"> </w:t>
      </w:r>
      <w:r w:rsidRPr="0000579E">
        <w:rPr>
          <w:b/>
          <w:bCs/>
          <w:color w:val="0D0D0D" w:themeColor="text1" w:themeTint="F2"/>
        </w:rPr>
        <w:t>Update:</w:t>
      </w:r>
      <w:r w:rsidRPr="0000579E">
        <w:rPr>
          <w:b/>
          <w:bCs/>
          <w:color w:val="0D0D0D" w:themeColor="text1" w:themeTint="F2"/>
          <w:spacing w:val="-4"/>
        </w:rPr>
        <w:t xml:space="preserve"> Reform Credit Union Tax Exemption</w:t>
      </w:r>
    </w:p>
    <w:p w:rsidRPr="0000579E" w:rsidR="00606AA7" w:rsidP="00D743CA" w:rsidRDefault="00606AA7" w14:paraId="5EF5D90B" w14:textId="77777777">
      <w:pPr>
        <w:keepNext/>
        <w:keepLines/>
        <w:ind w:left="0" w:firstLine="0"/>
        <w:outlineLvl w:val="0"/>
        <w:rPr>
          <w:b/>
          <w:bCs/>
          <w:color w:val="000000" w:themeColor="text1"/>
          <w:spacing w:val="10"/>
          <w:sz w:val="22"/>
          <w:szCs w:val="22"/>
        </w:rPr>
      </w:pPr>
    </w:p>
    <w:p w:rsidRPr="0000579E" w:rsidR="00606AA7" w:rsidP="00D743CA" w:rsidRDefault="00606AA7" w14:paraId="189460C0" w14:textId="77777777">
      <w:pPr>
        <w:keepNext/>
        <w:keepLines/>
        <w:ind w:left="0" w:firstLine="0"/>
        <w:outlineLvl w:val="0"/>
        <w:rPr>
          <w:color w:val="000000" w:themeColor="text1"/>
          <w:spacing w:val="10"/>
          <w:sz w:val="22"/>
          <w:szCs w:val="22"/>
        </w:rPr>
      </w:pPr>
      <w:r w:rsidRPr="0000579E">
        <w:rPr>
          <w:b/>
          <w:bCs/>
          <w:color w:val="000000" w:themeColor="text1"/>
          <w:spacing w:val="10"/>
          <w:sz w:val="22"/>
          <w:szCs w:val="22"/>
        </w:rPr>
        <w:t>Overview:</w:t>
      </w:r>
      <w:r w:rsidRPr="0000579E">
        <w:rPr>
          <w:color w:val="000000" w:themeColor="text1"/>
          <w:spacing w:val="10"/>
          <w:sz w:val="22"/>
          <w:szCs w:val="22"/>
        </w:rPr>
        <w:t xml:space="preserve"> </w:t>
      </w:r>
      <w:r w:rsidRPr="0000579E">
        <w:rPr>
          <w:sz w:val="22"/>
          <w:szCs w:val="22"/>
        </w:rPr>
        <w:t>Many of today’s credit unions are multi-billion-dollar, tax-subsidized institutions, competing in the same markets for the same customers and offering similar services as tax-paying commercial banks. ICBA advocates for changes to restore a balanced and competitive financial landscape and raise billions in revenue at the federal, state, and local levels.</w:t>
      </w:r>
    </w:p>
    <w:p w:rsidRPr="0000579E" w:rsidR="00606AA7" w:rsidP="00D743CA" w:rsidRDefault="00606AA7" w14:paraId="0F5072DB" w14:textId="77777777">
      <w:pPr>
        <w:spacing w:line="304" w:lineRule="auto"/>
        <w:ind w:left="0" w:firstLine="0"/>
        <w:rPr>
          <w:color w:val="auto"/>
          <w:sz w:val="22"/>
          <w:szCs w:val="22"/>
          <w:lang w:bidi="en-US"/>
        </w:rPr>
      </w:pPr>
    </w:p>
    <w:p w:rsidRPr="0000579E" w:rsidR="00606AA7" w:rsidP="00D743CA" w:rsidRDefault="00606AA7" w14:paraId="1C52EB84" w14:textId="77777777">
      <w:pPr>
        <w:spacing w:line="304" w:lineRule="auto"/>
        <w:ind w:left="0" w:firstLine="0"/>
        <w:rPr>
          <w:sz w:val="22"/>
          <w:szCs w:val="22"/>
        </w:rPr>
      </w:pPr>
      <w:r w:rsidRPr="246DCCE3" w:rsidR="7A79C7ED">
        <w:rPr>
          <w:sz w:val="22"/>
          <w:szCs w:val="22"/>
        </w:rPr>
        <w:t xml:space="preserve">ICBA advocates for taxation of credit unions with assets of </w:t>
      </w:r>
      <w:bookmarkStart w:name="_Int_Zq1gAsMp" w:id="1837343597"/>
      <w:r w:rsidRPr="246DCCE3" w:rsidR="7A79C7ED">
        <w:rPr>
          <w:sz w:val="22"/>
          <w:szCs w:val="22"/>
        </w:rPr>
        <w:t>$1 billion</w:t>
      </w:r>
      <w:bookmarkEnd w:id="1837343597"/>
      <w:r w:rsidRPr="246DCCE3" w:rsidR="7A79C7ED">
        <w:rPr>
          <w:sz w:val="22"/>
          <w:szCs w:val="22"/>
        </w:rPr>
        <w:t xml:space="preserve"> or more and a tax, or “exit fee” on credit union acquisitions of banks to recapture, in part, lost tax revenues.</w:t>
      </w:r>
    </w:p>
    <w:p w:rsidRPr="0000579E" w:rsidR="00604BDC" w:rsidP="00D743CA" w:rsidRDefault="00604BDC" w14:paraId="6D761CFF" w14:textId="77777777">
      <w:pPr>
        <w:spacing w:line="304" w:lineRule="auto"/>
        <w:ind w:left="0" w:firstLine="0"/>
        <w:rPr>
          <w:sz w:val="22"/>
          <w:szCs w:val="22"/>
        </w:rPr>
      </w:pPr>
    </w:p>
    <w:p w:rsidRPr="0000579E" w:rsidR="00604BDC" w:rsidP="00D743CA" w:rsidRDefault="009C21B7" w14:paraId="1FE5DBD6" w14:textId="53A1A829">
      <w:pPr>
        <w:spacing w:line="304" w:lineRule="auto"/>
        <w:ind w:left="0" w:firstLine="0"/>
        <w:rPr>
          <w:sz w:val="22"/>
          <w:szCs w:val="22"/>
        </w:rPr>
      </w:pPr>
      <w:r w:rsidRPr="0000579E">
        <w:rPr>
          <w:sz w:val="22"/>
          <w:szCs w:val="22"/>
        </w:rPr>
        <w:t>Federal credit unions should be required to file IRS Form 990</w:t>
      </w:r>
      <w:r w:rsidRPr="0000579E" w:rsidR="003064F3">
        <w:rPr>
          <w:sz w:val="22"/>
          <w:szCs w:val="22"/>
        </w:rPr>
        <w:t xml:space="preserve"> as part of the Treasury Department’s “</w:t>
      </w:r>
      <w:r w:rsidRPr="0000579E" w:rsidR="00F9379A">
        <w:rPr>
          <w:sz w:val="22"/>
          <w:szCs w:val="22"/>
        </w:rPr>
        <w:t>Form 990 Transparency Initiative.”</w:t>
      </w:r>
      <w:r w:rsidRPr="0000579E" w:rsidR="002471E6">
        <w:rPr>
          <w:sz w:val="22"/>
          <w:szCs w:val="22"/>
        </w:rPr>
        <w:t xml:space="preserve"> </w:t>
      </w:r>
    </w:p>
    <w:p w:rsidRPr="0000579E" w:rsidR="00606AA7" w:rsidP="00D743CA" w:rsidRDefault="00606AA7" w14:paraId="3421E405" w14:textId="77777777">
      <w:pPr>
        <w:spacing w:line="304" w:lineRule="auto"/>
        <w:ind w:left="0" w:firstLine="0"/>
        <w:rPr>
          <w:sz w:val="22"/>
          <w:szCs w:val="22"/>
        </w:rPr>
      </w:pPr>
    </w:p>
    <w:p w:rsidRPr="0000579E" w:rsidR="00606AA7" w:rsidP="00D743CA" w:rsidRDefault="00606AA7" w14:paraId="13356F15" w14:textId="77777777">
      <w:pPr>
        <w:ind w:left="0" w:firstLine="0"/>
        <w:rPr>
          <w:sz w:val="22"/>
          <w:szCs w:val="22"/>
        </w:rPr>
      </w:pPr>
      <w:r w:rsidRPr="0000579E">
        <w:rPr>
          <w:sz w:val="22"/>
          <w:szCs w:val="22"/>
        </w:rPr>
        <w:t xml:space="preserve">ICBA’s The Illusionists campaign </w:t>
      </w:r>
      <w:r w:rsidRPr="0000579E">
        <w:rPr>
          <w:kern w:val="28"/>
          <w:sz w:val="22"/>
          <w:szCs w:val="22"/>
        </w:rPr>
        <w:t>highlights the credit union industry’s deceptions, exponential growth, abuse of the tax code, and consumer harm.</w:t>
      </w:r>
      <w:r w:rsidRPr="0000579E">
        <w:rPr>
          <w:sz w:val="22"/>
          <w:szCs w:val="22"/>
        </w:rPr>
        <w:t xml:space="preserve"> Visit </w:t>
      </w:r>
      <w:hyperlink w:history="1" r:id="rId11">
        <w:r w:rsidRPr="0000579E">
          <w:rPr>
            <w:rStyle w:val="Hyperlink"/>
            <w:sz w:val="22"/>
            <w:szCs w:val="22"/>
          </w:rPr>
          <w:t>creditunionsrevealed.com</w:t>
        </w:r>
      </w:hyperlink>
      <w:r w:rsidRPr="0000579E">
        <w:rPr>
          <w:sz w:val="22"/>
          <w:szCs w:val="22"/>
        </w:rPr>
        <w:t>.</w:t>
      </w:r>
    </w:p>
    <w:p w:rsidRPr="0000579E" w:rsidR="00606AA7" w:rsidP="00D743CA" w:rsidRDefault="00606AA7" w14:paraId="03F33540" w14:textId="77777777">
      <w:pPr>
        <w:ind w:left="0" w:firstLine="0"/>
        <w:rPr>
          <w:sz w:val="22"/>
          <w:szCs w:val="22"/>
        </w:rPr>
      </w:pPr>
    </w:p>
    <w:p w:rsidRPr="0000579E" w:rsidR="00606AA7" w:rsidP="00D743CA" w:rsidRDefault="00606AA7" w14:paraId="244E89B4" w14:textId="77777777">
      <w:pPr>
        <w:ind w:left="0" w:firstLine="0"/>
        <w:rPr>
          <w:b w:val="1"/>
          <w:bCs w:val="1"/>
          <w:sz w:val="22"/>
          <w:szCs w:val="22"/>
        </w:rPr>
      </w:pPr>
      <w:r w:rsidRPr="246DCCE3" w:rsidR="7A79C7ED">
        <w:rPr>
          <w:b w:val="1"/>
          <w:bCs w:val="1"/>
          <w:sz w:val="22"/>
          <w:szCs w:val="22"/>
        </w:rPr>
        <w:t xml:space="preserve">Background: </w:t>
      </w:r>
      <w:r w:rsidRPr="246DCCE3" w:rsidR="7A79C7ED">
        <w:rPr>
          <w:sz w:val="22"/>
          <w:szCs w:val="22"/>
        </w:rPr>
        <w:t xml:space="preserve">Credit unions have become larger, more complex, and bank-like in their size, powers, product and service offerings, and fields of membership. The 450 credit unions with </w:t>
      </w:r>
      <w:bookmarkStart w:name="_Int_n9cDLl8V" w:id="1108174978"/>
      <w:r w:rsidRPr="246DCCE3" w:rsidR="7A79C7ED">
        <w:rPr>
          <w:sz w:val="22"/>
          <w:szCs w:val="22"/>
        </w:rPr>
        <w:t>$1 billion</w:t>
      </w:r>
      <w:bookmarkEnd w:id="1108174978"/>
      <w:r w:rsidRPr="246DCCE3" w:rsidR="7A79C7ED">
        <w:rPr>
          <w:sz w:val="22"/>
          <w:szCs w:val="22"/>
        </w:rPr>
        <w:t xml:space="preserve"> or more in assets represent 80 percent of the industry’s assets but comprise only 10 percent of the total number of credit unions. The industry is increasingly top heavy.</w:t>
      </w:r>
    </w:p>
    <w:p w:rsidRPr="0000579E" w:rsidR="00606AA7" w:rsidP="00D743CA" w:rsidRDefault="00606AA7" w14:paraId="740593BB" w14:textId="77777777">
      <w:pPr>
        <w:ind w:left="0" w:firstLine="0"/>
        <w:rPr>
          <w:sz w:val="22"/>
          <w:szCs w:val="22"/>
        </w:rPr>
      </w:pPr>
    </w:p>
    <w:p w:rsidRPr="0000579E" w:rsidR="00606AA7" w:rsidP="00D743CA" w:rsidRDefault="00606AA7" w14:paraId="150168DE" w14:textId="77777777">
      <w:pPr>
        <w:ind w:left="0" w:firstLine="0"/>
        <w:rPr>
          <w:sz w:val="22"/>
          <w:szCs w:val="22"/>
        </w:rPr>
      </w:pPr>
      <w:r w:rsidRPr="246DCCE3" w:rsidR="7A79C7ED">
        <w:rPr>
          <w:sz w:val="22"/>
          <w:szCs w:val="22"/>
        </w:rPr>
        <w:t xml:space="preserve">Credit union expansion comes at a steep cost to the U.S. Treasury. Credit unions used their tax exemption to avoid paying </w:t>
      </w:r>
      <w:bookmarkStart w:name="_Int_1Qg4ME6p" w:id="1700510956"/>
      <w:r w:rsidRPr="246DCCE3" w:rsidR="7A79C7ED">
        <w:rPr>
          <w:sz w:val="22"/>
          <w:szCs w:val="22"/>
        </w:rPr>
        <w:t xml:space="preserve">nearly </w:t>
      </w:r>
      <w:bookmarkStart w:name="_Int_WMvSE2fU" w:id="1868580928"/>
      <w:r w:rsidRPr="246DCCE3" w:rsidR="7A79C7ED">
        <w:rPr>
          <w:sz w:val="22"/>
          <w:szCs w:val="22"/>
        </w:rPr>
        <w:t>$4.3 billion</w:t>
      </w:r>
      <w:bookmarkEnd w:id="1700510956"/>
      <w:bookmarkEnd w:id="1868580928"/>
      <w:r w:rsidRPr="246DCCE3" w:rsidR="7A79C7ED">
        <w:rPr>
          <w:sz w:val="22"/>
          <w:szCs w:val="22"/>
        </w:rPr>
        <w:t xml:space="preserve"> in federal income taxes in 2025 while holding </w:t>
      </w:r>
      <w:bookmarkStart w:name="_Int_5zCBXoac" w:id="1850227309"/>
      <w:r w:rsidRPr="246DCCE3" w:rsidR="7A79C7ED">
        <w:rPr>
          <w:sz w:val="22"/>
          <w:szCs w:val="22"/>
        </w:rPr>
        <w:t>$2.5 trillion</w:t>
      </w:r>
      <w:bookmarkEnd w:id="1850227309"/>
      <w:r w:rsidRPr="246DCCE3" w:rsidR="7A79C7ED">
        <w:rPr>
          <w:sz w:val="22"/>
          <w:szCs w:val="22"/>
        </w:rPr>
        <w:t xml:space="preserve"> in tax-free assets. </w:t>
      </w:r>
    </w:p>
    <w:p w:rsidRPr="0000579E" w:rsidR="00606AA7" w:rsidP="00D743CA" w:rsidRDefault="00606AA7" w14:paraId="7220D0E8" w14:textId="77777777">
      <w:pPr>
        <w:ind w:left="0" w:firstLine="0"/>
        <w:rPr>
          <w:sz w:val="22"/>
          <w:szCs w:val="22"/>
        </w:rPr>
      </w:pPr>
    </w:p>
    <w:p w:rsidRPr="0000579E" w:rsidR="00606AA7" w:rsidP="00D743CA" w:rsidRDefault="00606AA7" w14:paraId="6FFB4053" w14:textId="77777777">
      <w:pPr>
        <w:ind w:left="0" w:firstLine="0"/>
        <w:rPr>
          <w:sz w:val="22"/>
          <w:szCs w:val="22"/>
        </w:rPr>
      </w:pPr>
      <w:r w:rsidRPr="0000579E">
        <w:rPr>
          <w:rStyle w:val="normaltextrun"/>
          <w:sz w:val="22"/>
          <w:szCs w:val="22"/>
          <w:shd w:val="clear" w:color="auto" w:fill="FFFFFF"/>
        </w:rPr>
        <w:t>Credit union acquisitions of banks continue to be at historic highs, totaling 16 total acquisitions in 2025.</w:t>
      </w:r>
      <w:r w:rsidRPr="0000579E">
        <w:rPr>
          <w:sz w:val="22"/>
          <w:szCs w:val="22"/>
        </w:rPr>
        <w:t xml:space="preserve"> Credit unions use their tax exemption to inflate the purchase price of banks to one-and-a-half times book value. </w:t>
      </w:r>
    </w:p>
    <w:p w:rsidRPr="0000579E" w:rsidR="00606AA7" w:rsidP="00D743CA" w:rsidRDefault="00606AA7" w14:paraId="14DFADA9" w14:textId="77777777">
      <w:pPr>
        <w:ind w:left="0" w:firstLine="0"/>
        <w:rPr>
          <w:sz w:val="22"/>
          <w:szCs w:val="22"/>
        </w:rPr>
      </w:pPr>
    </w:p>
    <w:p w:rsidRPr="0000579E" w:rsidR="00606AA7" w:rsidP="00D743CA" w:rsidRDefault="00606AA7" w14:paraId="6415E976" w14:textId="61EB140F">
      <w:pPr>
        <w:spacing w:before="60" w:after="60"/>
        <w:ind w:left="0" w:firstLine="0"/>
        <w:rPr>
          <w:b w:val="1"/>
          <w:bCs w:val="1"/>
          <w:color w:val="003366"/>
          <w:kern w:val="28"/>
          <w:sz w:val="22"/>
          <w:szCs w:val="22"/>
        </w:rPr>
      </w:pPr>
      <w:r w:rsidRPr="0000579E" w:rsidR="7A79C7ED">
        <w:rPr>
          <w:sz w:val="22"/>
          <w:szCs w:val="22"/>
        </w:rPr>
        <w:t xml:space="preserve">Larger, out-of-market credit unions are displacing smaller, locally based community banks and other credit unions, creating an environment that is less competitive, has more systemic risk, and offers fewer choices for consumers and small businesses. </w:t>
      </w:r>
      <w:r>
        <w:fldChar w:fldCharType="begin"/>
      </w:r>
      <w:r>
        <w:instrText xml:space="preserve">HYPERLINK "https://www.icba.org/newsroom/blogs/main-street-matters/2025/09/08/analysis-shows-credit-union-acquisitions-of-community-banks-harm"</w:instrText>
      </w:r>
      <w:r>
        <w:fldChar w:fldCharType="separate"/>
      </w:r>
      <w:r w:rsidRPr="246DCCE3" w:rsidR="7A79C7ED">
        <w:rPr>
          <w:rStyle w:val="Hyperlink"/>
          <w:color w:val="1266E2"/>
          <w:sz w:val="22"/>
          <w:szCs w:val="22"/>
          <w:shd w:val="clear" w:color="auto" w:fill="FFFFFF"/>
        </w:rPr>
        <w:t>New data analysis </w:t>
      </w:r>
      <w:r>
        <w:fldChar w:fldCharType="end"/>
      </w:r>
      <w:r w:rsidRPr="0000579E" w:rsidR="7A79C7ED">
        <w:rPr>
          <w:color w:val="353637"/>
          <w:sz w:val="22"/>
          <w:szCs w:val="22"/>
          <w:shd w:val="clear" w:color="auto" w:fill="FFFFFF"/>
        </w:rPr>
        <w:t xml:space="preserve">demonstrates that credit union-community bank acquisitions harm small businesses and local </w:t>
      </w:r>
      <w:r w:rsidRPr="246DCCE3" w:rsidR="581EE257">
        <w:rPr>
          <w:color w:val="353637"/>
          <w:sz w:val="22"/>
          <w:szCs w:val="22"/>
        </w:rPr>
        <w:t>communities,</w:t>
      </w:r>
      <w:r w:rsidRPr="246DCCE3" w:rsidR="7A79C7ED">
        <w:rPr>
          <w:color w:val="353637"/>
          <w:sz w:val="22"/>
          <w:szCs w:val="22"/>
        </w:rPr>
        <w:t xml:space="preserve"> and that community banks outperform credit unions in high-poverty areas</w:t>
      </w:r>
      <w:r w:rsidRPr="246DCCE3" w:rsidR="7A79C7ED">
        <w:rPr>
          <w:sz w:val="22"/>
          <w:szCs w:val="22"/>
        </w:rPr>
        <w:t xml:space="preserve">. </w:t>
      </w:r>
    </w:p>
    <w:p w:rsidRPr="0000579E" w:rsidR="00606AA7" w:rsidP="00D743CA" w:rsidRDefault="00606AA7" w14:paraId="37AA2F21" w14:textId="77777777">
      <w:pPr>
        <w:pStyle w:val="paragraph"/>
        <w:spacing w:before="0" w:beforeAutospacing="0" w:after="0" w:afterAutospacing="0" w:line="276" w:lineRule="auto"/>
        <w:textAlignment w:val="baseline"/>
        <w:rPr>
          <w:rFonts w:ascii="Arial" w:hAnsi="Arial" w:cs="Arial"/>
          <w:sz w:val="22"/>
          <w:szCs w:val="22"/>
        </w:rPr>
      </w:pPr>
    </w:p>
    <w:p w:rsidRPr="0000579E" w:rsidR="00606AA7" w:rsidP="00D743CA" w:rsidRDefault="00606AA7" w14:paraId="16DEE7F9" w14:textId="77777777">
      <w:pPr>
        <w:pStyle w:val="paragraph"/>
        <w:spacing w:before="0" w:beforeAutospacing="0" w:after="0" w:afterAutospacing="0" w:line="276" w:lineRule="auto"/>
        <w:textAlignment w:val="baseline"/>
        <w:rPr>
          <w:rFonts w:ascii="Arial" w:hAnsi="Arial" w:cs="Arial"/>
          <w:b/>
          <w:bCs/>
          <w:sz w:val="22"/>
          <w:szCs w:val="22"/>
        </w:rPr>
      </w:pPr>
      <w:r w:rsidRPr="0000579E">
        <w:rPr>
          <w:rFonts w:ascii="Arial" w:hAnsi="Arial" w:cs="Arial"/>
          <w:b/>
          <w:bCs/>
          <w:sz w:val="22"/>
          <w:szCs w:val="22"/>
        </w:rPr>
        <w:t xml:space="preserve">ICBA’s </w:t>
      </w:r>
      <w:r w:rsidRPr="0000579E">
        <w:rPr>
          <w:rFonts w:ascii="Arial" w:hAnsi="Arial" w:cs="Arial"/>
          <w:b/>
          <w:bCs/>
          <w:i/>
          <w:iCs/>
          <w:sz w:val="22"/>
          <w:szCs w:val="22"/>
        </w:rPr>
        <w:t>The Illusionists</w:t>
      </w:r>
      <w:r w:rsidRPr="0000579E">
        <w:rPr>
          <w:rFonts w:ascii="Arial" w:hAnsi="Arial" w:cs="Arial"/>
          <w:b/>
          <w:bCs/>
          <w:sz w:val="22"/>
          <w:szCs w:val="22"/>
        </w:rPr>
        <w:t xml:space="preserve"> Campaign</w:t>
      </w:r>
    </w:p>
    <w:p w:rsidRPr="0000579E" w:rsidR="00606AA7" w:rsidP="00D743CA" w:rsidRDefault="00606AA7" w14:paraId="0075ECEA" w14:textId="77777777">
      <w:pPr>
        <w:pStyle w:val="paragraph"/>
        <w:spacing w:before="0" w:beforeAutospacing="0" w:after="0" w:afterAutospacing="0" w:line="276" w:lineRule="auto"/>
        <w:textAlignment w:val="baseline"/>
        <w:rPr>
          <w:rFonts w:ascii="Arial" w:hAnsi="Arial" w:cs="Arial"/>
          <w:sz w:val="22"/>
          <w:szCs w:val="22"/>
        </w:rPr>
      </w:pPr>
    </w:p>
    <w:p w:rsidRPr="0000579E" w:rsidR="00606AA7" w:rsidP="00D743CA" w:rsidRDefault="00606AA7" w14:paraId="470E7BFD" w14:textId="77777777">
      <w:pPr>
        <w:spacing w:before="60" w:after="60"/>
        <w:ind w:left="0" w:firstLine="0"/>
        <w:rPr>
          <w:kern w:val="28"/>
          <w:sz w:val="22"/>
          <w:szCs w:val="22"/>
        </w:rPr>
      </w:pPr>
      <w:r w:rsidRPr="0000579E">
        <w:rPr>
          <w:kern w:val="28"/>
          <w:sz w:val="22"/>
          <w:szCs w:val="22"/>
        </w:rPr>
        <w:t xml:space="preserve">ICBA launched “The Illusionists,” a new media campaign to reveal the ugly truth about credit unions. The campaign features a website, </w:t>
      </w:r>
      <w:hyperlink w:history="1" r:id="rId13">
        <w:r w:rsidRPr="0000579E">
          <w:rPr>
            <w:rStyle w:val="Hyperlink"/>
            <w:kern w:val="28"/>
            <w:sz w:val="22"/>
            <w:szCs w:val="22"/>
          </w:rPr>
          <w:t>creditunionsrevealed.com</w:t>
        </w:r>
      </w:hyperlink>
      <w:r w:rsidRPr="0000579E">
        <w:rPr>
          <w:kern w:val="28"/>
          <w:sz w:val="22"/>
          <w:szCs w:val="22"/>
        </w:rPr>
        <w:t>, highlighting the industry’s deceptions, exponential growth, abuse of the tax code, and consumer harm.</w:t>
      </w:r>
    </w:p>
    <w:p w:rsidRPr="0000579E" w:rsidR="00606AA7" w:rsidP="00D743CA" w:rsidRDefault="00606AA7" w14:paraId="11B76E7C" w14:textId="77777777">
      <w:pPr>
        <w:pStyle w:val="paragraph"/>
        <w:spacing w:before="0" w:beforeAutospacing="0" w:after="0" w:afterAutospacing="0" w:line="276" w:lineRule="auto"/>
        <w:textAlignment w:val="baseline"/>
        <w:rPr>
          <w:rFonts w:ascii="Arial" w:hAnsi="Arial" w:cs="Arial"/>
          <w:b/>
          <w:bCs/>
          <w:sz w:val="22"/>
          <w:szCs w:val="22"/>
        </w:rPr>
      </w:pPr>
    </w:p>
    <w:p w:rsidRPr="0000579E" w:rsidR="00606AA7" w:rsidP="00A06AD5" w:rsidRDefault="00606AA7" w14:paraId="7FDF9E11" w14:textId="03F3E98B">
      <w:pPr>
        <w:pStyle w:val="paragraph"/>
        <w:spacing w:before="0" w:beforeAutospacing="0" w:after="0" w:afterAutospacing="0" w:line="276" w:lineRule="auto"/>
        <w:textAlignment w:val="baseline"/>
        <w:rPr>
          <w:rFonts w:ascii="Arial" w:hAnsi="Arial" w:cs="Arial"/>
          <w:b/>
          <w:bCs/>
          <w:sz w:val="22"/>
          <w:szCs w:val="22"/>
        </w:rPr>
      </w:pPr>
      <w:r w:rsidRPr="0000579E">
        <w:rPr>
          <w:rFonts w:ascii="Arial" w:hAnsi="Arial" w:cs="Arial"/>
          <w:b/>
          <w:bCs/>
          <w:sz w:val="22"/>
          <w:szCs w:val="22"/>
        </w:rPr>
        <w:t>Talking Points</w:t>
      </w:r>
    </w:p>
    <w:p w:rsidRPr="0000579E" w:rsidR="00606AA7" w:rsidP="00A44234" w:rsidRDefault="00606AA7" w14:paraId="40BFE710" w14:textId="328FAB9B">
      <w:pPr>
        <w:pStyle w:val="BulletPoints"/>
        <w:rPr>
          <w:sz w:val="22"/>
          <w:szCs w:val="22"/>
        </w:rPr>
      </w:pPr>
      <w:r w:rsidRPr="246DCCE3" w:rsidR="7A79C7ED">
        <w:rPr>
          <w:sz w:val="22"/>
          <w:szCs w:val="22"/>
        </w:rPr>
        <w:t xml:space="preserve">Credit unions are violating the limits </w:t>
      </w:r>
      <w:r w:rsidRPr="246DCCE3" w:rsidR="7A79C7ED">
        <w:rPr>
          <w:sz w:val="22"/>
          <w:szCs w:val="22"/>
        </w:rPr>
        <w:t>established</w:t>
      </w:r>
      <w:r w:rsidRPr="246DCCE3" w:rsidR="7A79C7ED">
        <w:rPr>
          <w:sz w:val="22"/>
          <w:szCs w:val="22"/>
        </w:rPr>
        <w:t xml:space="preserve"> by Congress to justify their tax exemption</w:t>
      </w:r>
      <w:r w:rsidRPr="246DCCE3" w:rsidR="269E255C">
        <w:rPr>
          <w:sz w:val="22"/>
          <w:szCs w:val="22"/>
        </w:rPr>
        <w:t xml:space="preserve">. </w:t>
      </w:r>
    </w:p>
    <w:p w:rsidRPr="0000579E" w:rsidR="00606AA7" w:rsidP="00A44234" w:rsidRDefault="00606AA7" w14:paraId="1D103871" w14:textId="0D9E2EC0">
      <w:pPr>
        <w:pStyle w:val="BulletPoints"/>
        <w:rPr>
          <w:sz w:val="22"/>
          <w:szCs w:val="22"/>
        </w:rPr>
      </w:pPr>
      <w:r w:rsidRPr="246DCCE3" w:rsidR="7A79C7ED">
        <w:rPr>
          <w:sz w:val="22"/>
          <w:szCs w:val="22"/>
        </w:rPr>
        <w:t xml:space="preserve">Credit union acquisitions of community banks diminish tax revenues, </w:t>
      </w:r>
      <w:r w:rsidRPr="246DCCE3" w:rsidR="7A79C7ED">
        <w:rPr>
          <w:sz w:val="22"/>
          <w:szCs w:val="22"/>
        </w:rPr>
        <w:t>consolidate</w:t>
      </w:r>
      <w:r w:rsidRPr="246DCCE3" w:rsidR="7A79C7ED">
        <w:rPr>
          <w:sz w:val="22"/>
          <w:szCs w:val="22"/>
        </w:rPr>
        <w:t xml:space="preserve"> the industry through tax subsidies, and extend the reach of institutions exempt from Community Reinvestment Act oversight</w:t>
      </w:r>
      <w:r w:rsidRPr="246DCCE3" w:rsidR="77146BD1">
        <w:rPr>
          <w:sz w:val="22"/>
          <w:szCs w:val="22"/>
        </w:rPr>
        <w:t xml:space="preserve">. </w:t>
      </w:r>
    </w:p>
    <w:p w:rsidRPr="0000579E" w:rsidR="00606AA7" w:rsidP="00A44234" w:rsidRDefault="00606AA7" w14:paraId="1252028C" w14:textId="77777777">
      <w:pPr>
        <w:pStyle w:val="BulletPoints"/>
        <w:rPr>
          <w:sz w:val="22"/>
          <w:szCs w:val="22"/>
        </w:rPr>
      </w:pPr>
      <w:r w:rsidRPr="0000579E">
        <w:rPr>
          <w:sz w:val="22"/>
          <w:szCs w:val="22"/>
        </w:rPr>
        <w:t xml:space="preserve">Congress should </w:t>
      </w:r>
      <w:hyperlink w:history="1" r:id="rId14">
        <w:r w:rsidRPr="0000579E">
          <w:rPr>
            <w:rStyle w:val="Hyperlink"/>
            <w:color w:val="auto"/>
            <w:sz w:val="22"/>
            <w:szCs w:val="22"/>
          </w:rPr>
          <w:t>hold hearings</w:t>
        </w:r>
      </w:hyperlink>
      <w:hyperlink w:history="1" r:id="rId15">
        <w:r w:rsidRPr="0000579E">
          <w:rPr>
            <w:rStyle w:val="Hyperlink"/>
            <w:color w:val="auto"/>
            <w:sz w:val="22"/>
            <w:szCs w:val="22"/>
            <w:u w:val="none"/>
          </w:rPr>
          <w:t xml:space="preserve"> </w:t>
        </w:r>
      </w:hyperlink>
      <w:r w:rsidRPr="0000579E">
        <w:rPr>
          <w:sz w:val="22"/>
          <w:szCs w:val="22"/>
        </w:rPr>
        <w:t>to investigate the credit union tax exemption.</w:t>
      </w:r>
    </w:p>
    <w:p w:rsidRPr="0000579E" w:rsidR="00606AA7" w:rsidP="00A44234" w:rsidRDefault="00606AA7" w14:paraId="6F3870E0" w14:textId="77777777">
      <w:pPr>
        <w:pStyle w:val="BulletPoints"/>
        <w:rPr>
          <w:sz w:val="22"/>
          <w:szCs w:val="22"/>
        </w:rPr>
      </w:pPr>
      <w:r w:rsidRPr="0000579E">
        <w:rPr>
          <w:sz w:val="22"/>
          <w:szCs w:val="22"/>
        </w:rPr>
        <w:t>Congress should tax the largest credit unions with more than one billion in assets.</w:t>
      </w:r>
    </w:p>
    <w:p w:rsidRPr="0000579E" w:rsidR="00606AA7" w:rsidP="00A44234" w:rsidRDefault="00606AA7" w14:paraId="634F2E2B" w14:textId="77777777">
      <w:pPr>
        <w:pStyle w:val="BulletPoints"/>
        <w:rPr>
          <w:sz w:val="22"/>
          <w:szCs w:val="22"/>
        </w:rPr>
      </w:pPr>
      <w:r w:rsidRPr="246DCCE3" w:rsidR="7A79C7ED">
        <w:rPr>
          <w:sz w:val="22"/>
          <w:szCs w:val="22"/>
        </w:rPr>
        <w:t xml:space="preserve">Credit unions should not be able to use their tax subsidy to purchase taxpaying banks. Congress should impose an </w:t>
      </w:r>
      <w:hyperlink r:id="R26c41ff5bfe1448e">
        <w:r w:rsidRPr="246DCCE3" w:rsidR="7A79C7ED">
          <w:rPr>
            <w:rStyle w:val="Hyperlink"/>
            <w:color w:val="auto"/>
            <w:sz w:val="22"/>
            <w:szCs w:val="22"/>
          </w:rPr>
          <w:t>“exit fee”</w:t>
        </w:r>
      </w:hyperlink>
      <w:hyperlink r:id="R834b191b3ec148d2">
        <w:r w:rsidRPr="246DCCE3" w:rsidR="7A79C7ED">
          <w:rPr>
            <w:rStyle w:val="Hyperlink"/>
            <w:color w:val="auto"/>
            <w:sz w:val="22"/>
            <w:szCs w:val="22"/>
            <w:u w:val="none"/>
          </w:rPr>
          <w:t xml:space="preserve"> </w:t>
        </w:r>
      </w:hyperlink>
      <w:r w:rsidRPr="246DCCE3" w:rsidR="7A79C7ED">
        <w:rPr>
          <w:sz w:val="22"/>
          <w:szCs w:val="22"/>
        </w:rPr>
        <w:t xml:space="preserve">on credit </w:t>
      </w:r>
      <w:bookmarkStart w:name="_Int_1Qx8aKiS" w:id="911612876"/>
      <w:r w:rsidRPr="246DCCE3" w:rsidR="7A79C7ED">
        <w:rPr>
          <w:sz w:val="22"/>
          <w:szCs w:val="22"/>
        </w:rPr>
        <w:t>unions’</w:t>
      </w:r>
      <w:bookmarkEnd w:id="911612876"/>
      <w:r w:rsidRPr="246DCCE3" w:rsidR="7A79C7ED">
        <w:rPr>
          <w:sz w:val="22"/>
          <w:szCs w:val="22"/>
        </w:rPr>
        <w:t xml:space="preserve"> bank acquisitions to capture the tax revenue lost due to these transactions.</w:t>
      </w:r>
    </w:p>
    <w:p w:rsidRPr="0000579E" w:rsidR="00A44234" w:rsidP="00A44234" w:rsidRDefault="004B4862" w14:paraId="7BBD0049" w14:textId="2718D2A2">
      <w:pPr>
        <w:pStyle w:val="BulletPoints"/>
        <w:rPr>
          <w:sz w:val="22"/>
          <w:szCs w:val="22"/>
        </w:rPr>
      </w:pPr>
      <w:r w:rsidRPr="246DCCE3" w:rsidR="481D1A50">
        <w:rPr>
          <w:sz w:val="22"/>
          <w:szCs w:val="22"/>
        </w:rPr>
        <w:t>Federal credit unions should be required to file IRS Form 990</w:t>
      </w:r>
      <w:r w:rsidRPr="246DCCE3" w:rsidR="1FABAF70">
        <w:rPr>
          <w:sz w:val="22"/>
          <w:szCs w:val="22"/>
        </w:rPr>
        <w:t xml:space="preserve"> to create accountability and transparency in their expenditure </w:t>
      </w:r>
      <w:r w:rsidRPr="246DCCE3" w:rsidR="2B3BD4BF">
        <w:rPr>
          <w:sz w:val="22"/>
          <w:szCs w:val="22"/>
        </w:rPr>
        <w:t xml:space="preserve">of tax subsidies. State credit unions, and </w:t>
      </w:r>
      <w:bookmarkStart w:name="_Int_am8wFQBp" w:id="964178713"/>
      <w:r w:rsidRPr="246DCCE3" w:rsidR="2B3BD4BF">
        <w:rPr>
          <w:sz w:val="22"/>
          <w:szCs w:val="22"/>
        </w:rPr>
        <w:t>almost every</w:t>
      </w:r>
      <w:bookmarkEnd w:id="964178713"/>
      <w:r w:rsidRPr="246DCCE3" w:rsidR="2B3BD4BF">
        <w:rPr>
          <w:sz w:val="22"/>
          <w:szCs w:val="22"/>
        </w:rPr>
        <w:t xml:space="preserve"> tax-exempt organization, file Form 990. There is no rationale for the exemption of federal credit unions.</w:t>
      </w:r>
    </w:p>
    <w:p w:rsidRPr="0000579E" w:rsidR="00D037B8" w:rsidP="007A0FCD" w:rsidRDefault="00D037B8" w14:paraId="5ECCDDED" w14:textId="1CC0F718">
      <w:pPr>
        <w:pStyle w:val="BulletPoints"/>
        <w:numPr>
          <w:ilvl w:val="0"/>
          <w:numId w:val="0"/>
        </w:numPr>
        <w:rPr>
          <w:sz w:val="22"/>
          <w:szCs w:val="22"/>
        </w:rPr>
      </w:pPr>
    </w:p>
    <w:p w:rsidRPr="00D743CA" w:rsidR="007F4FF7" w:rsidP="00D743CA" w:rsidRDefault="007F4FF7" w14:paraId="5277AB23" w14:textId="77777777">
      <w:pPr>
        <w:ind w:left="0" w:firstLine="0"/>
        <w:rPr>
          <w:rFonts w:ascii="Times New Roman" w:hAnsi="Times New Roman" w:cs="Times New Roman"/>
        </w:rPr>
      </w:pPr>
    </w:p>
    <w:sectPr w:rsidRPr="00D743CA" w:rsidR="007F4FF7" w:rsidSect="003D38FD">
      <w:headerReference w:type="even" r:id="rId18"/>
      <w:headerReference w:type="default" r:id="rId19"/>
      <w:footerReference w:type="even" r:id="rId20"/>
      <w:footerReference w:type="default" r:id="rId21"/>
      <w:headerReference w:type="first" r:id="rId22"/>
      <w:footerReference w:type="first" r:id="rId23"/>
      <w:type w:val="continuous"/>
      <w:pgSz w:w="12240" w:h="15840" w:orient="portrait"/>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2F87" w:rsidP="00F04057" w:rsidRDefault="00A62F87" w14:paraId="753139E1" w14:textId="77777777">
      <w:r>
        <w:separator/>
      </w:r>
    </w:p>
    <w:p w:rsidR="00A62F87" w:rsidRDefault="00A62F87" w14:paraId="7C86515D" w14:textId="77777777"/>
  </w:endnote>
  <w:endnote w:type="continuationSeparator" w:id="0">
    <w:p w:rsidR="00A62F87" w:rsidP="00F04057" w:rsidRDefault="00A62F87" w14:paraId="5167AB47" w14:textId="77777777">
      <w:r>
        <w:continuationSeparator/>
      </w:r>
    </w:p>
    <w:p w:rsidR="00A62F87" w:rsidRDefault="00A62F87" w14:paraId="1122A37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P="00D570F4" w:rsidRDefault="0074747E" w14:paraId="2A230CD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DB00F63"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064B11CD" w14:textId="77777777">
    <w:pPr>
      <w:ind w:right="360"/>
    </w:pPr>
  </w:p>
  <w:p w:rsidR="008C2410" w:rsidRDefault="008C2410" w14:paraId="08F687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13F4BB99" w14:textId="77777777">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546CAE" w14:paraId="673D94F6" w14:textId="77777777">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2F87" w:rsidP="00F04057" w:rsidRDefault="00A62F87" w14:paraId="7C8DAFA8" w14:textId="77777777">
      <w:r>
        <w:separator/>
      </w:r>
    </w:p>
    <w:p w:rsidR="00A62F87" w:rsidRDefault="00A62F87" w14:paraId="6298BEF5" w14:textId="77777777"/>
  </w:footnote>
  <w:footnote w:type="continuationSeparator" w:id="0">
    <w:p w:rsidR="00A62F87" w:rsidP="00F04057" w:rsidRDefault="00A62F87" w14:paraId="4BCC7F95" w14:textId="77777777">
      <w:r>
        <w:continuationSeparator/>
      </w:r>
    </w:p>
    <w:p w:rsidR="00A62F87" w:rsidRDefault="00A62F87" w14:paraId="7F475D1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3E8D784F" w14:textId="77777777">
    <w:pPr>
      <w:pStyle w:val="Header"/>
    </w:pPr>
  </w:p>
  <w:p w:rsidR="008C2410" w:rsidRDefault="008C2410" w14:paraId="544D3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2B824C07" w14:textId="77777777">
    <w:pPr>
      <w:pStyle w:val="Header"/>
    </w:pPr>
  </w:p>
  <w:p w:rsidR="008C2410" w:rsidRDefault="008C2410" w14:paraId="40AB79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546CAE" w14:paraId="21D401D4" w14:textId="77777777">
    <w:r>
      <w:rPr>
        <w:noProof/>
      </w:rPr>
      <w:drawing>
        <wp:inline distT="0" distB="0" distL="0" distR="0" wp14:anchorId="13FD8BD5" wp14:editId="524B7B43">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intelligence2.xml><?xml version="1.0" encoding="utf-8"?>
<int2:intelligence xmlns:int2="http://schemas.microsoft.com/office/intelligence/2020/intelligence">
  <int2:observations>
    <int2:bookmark int2:bookmarkName="_Int_1Qx8aKiS" int2:invalidationBookmarkName="" int2:hashCode="bbdzuQQ24yQGKf" int2:id="L9SSz69p">
      <int2:state int2:type="style" int2:value="Rejected"/>
    </int2:bookmark>
    <int2:bookmark int2:bookmarkName="_Int_Zq1gAsMp" int2:invalidationBookmarkName="" int2:hashCode="/RHaic4X+xIwl0" int2:id="4lliIOWp">
      <int2:state int2:type="AugLoop_Text_Critique" int2:value="Rejected"/>
    </int2:bookmark>
    <int2:bookmark int2:bookmarkName="_Int_n9cDLl8V" int2:invalidationBookmarkName="" int2:hashCode="/RHaic4X+xIwl0" int2:id="brIz5TLe">
      <int2:state int2:type="AugLoop_Text_Critique" int2:value="Rejected"/>
    </int2:bookmark>
    <int2:bookmark int2:bookmarkName="_Int_WMvSE2fU" int2:invalidationBookmarkName="" int2:hashCode="+JUCWj7V7YEDda" int2:id="JOzZ05VX">
      <int2:state int2:type="AugLoop_Text_Critique" int2:value="Rejected"/>
    </int2:bookmark>
    <int2:bookmark int2:bookmarkName="_Int_5zCBXoac" int2:invalidationBookmarkName="" int2:hashCode="buuF1S+LVwEKZj" int2:id="DBaYEjyx">
      <int2:state int2:type="AugLoop_Text_Critique" int2:value="Rejected"/>
    </int2:bookmark>
    <int2:bookmark int2:bookmarkName="_Int_am8wFQBp" int2:invalidationBookmarkName="" int2:hashCode="jCmKMEh2RM9O54" int2:id="KewxberY">
      <int2:state int2:type="style" int2:value="Rejected"/>
    </int2:bookmark>
    <int2:bookmark int2:bookmarkName="_Int_1Qg4ME6p" int2:invalidationBookmarkName="" int2:hashCode="SnKwEVODduSniN" int2:id="oKfo7sXq">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2BC5"/>
    <w:multiLevelType w:val="hybridMultilevel"/>
    <w:tmpl w:val="CCB007F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 w15:restartNumberingAfterBreak="0">
    <w:nsid w:val="081F440E"/>
    <w:multiLevelType w:val="hybridMultilevel"/>
    <w:tmpl w:val="15AE398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162718EC"/>
    <w:multiLevelType w:val="hybridMultilevel"/>
    <w:tmpl w:val="692C399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3" w15:restartNumberingAfterBreak="0">
    <w:nsid w:val="188E2A28"/>
    <w:multiLevelType w:val="hybridMultilevel"/>
    <w:tmpl w:val="C9DA4D24"/>
    <w:lvl w:ilvl="0" w:tplc="7D7473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DA3A38"/>
    <w:multiLevelType w:val="hybridMultilevel"/>
    <w:tmpl w:val="7C94D5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E3D72CC"/>
    <w:multiLevelType w:val="hybridMultilevel"/>
    <w:tmpl w:val="4FCCB80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3EF21D8E"/>
    <w:multiLevelType w:val="hybridMultilevel"/>
    <w:tmpl w:val="98F0B410"/>
    <w:lvl w:ilvl="0" w:tplc="7D7473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9" w15:restartNumberingAfterBreak="0">
    <w:nsid w:val="41E36B17"/>
    <w:multiLevelType w:val="hybridMultilevel"/>
    <w:tmpl w:val="3E548EF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4A972592"/>
    <w:multiLevelType w:val="hybridMultilevel"/>
    <w:tmpl w:val="2976F344"/>
    <w:lvl w:ilvl="0" w:tplc="734A37E0">
      <w:start w:val="1"/>
      <w:numFmt w:val="bullet"/>
      <w:lvlText w:val="·"/>
      <w:lvlJc w:val="left"/>
      <w:pPr>
        <w:ind w:left="720" w:hanging="360"/>
      </w:pPr>
      <w:rPr>
        <w:rFonts w:hint="default" w:ascii="Symbol" w:hAnsi="Symbol"/>
      </w:rPr>
    </w:lvl>
    <w:lvl w:ilvl="1" w:tplc="0EAAD364">
      <w:start w:val="1"/>
      <w:numFmt w:val="bullet"/>
      <w:lvlText w:val="o"/>
      <w:lvlJc w:val="left"/>
      <w:pPr>
        <w:ind w:left="1440" w:hanging="360"/>
      </w:pPr>
      <w:rPr>
        <w:rFonts w:hint="default" w:ascii="Courier New" w:hAnsi="Courier New" w:cs="Times New Roman"/>
      </w:rPr>
    </w:lvl>
    <w:lvl w:ilvl="2" w:tplc="4E94F782">
      <w:start w:val="1"/>
      <w:numFmt w:val="bullet"/>
      <w:lvlText w:val=""/>
      <w:lvlJc w:val="left"/>
      <w:pPr>
        <w:ind w:left="2160" w:hanging="360"/>
      </w:pPr>
      <w:rPr>
        <w:rFonts w:hint="default" w:ascii="Wingdings" w:hAnsi="Wingdings"/>
      </w:rPr>
    </w:lvl>
    <w:lvl w:ilvl="3" w:tplc="F684C78A">
      <w:start w:val="1"/>
      <w:numFmt w:val="bullet"/>
      <w:lvlText w:val=""/>
      <w:lvlJc w:val="left"/>
      <w:pPr>
        <w:ind w:left="2880" w:hanging="360"/>
      </w:pPr>
      <w:rPr>
        <w:rFonts w:hint="default" w:ascii="Symbol" w:hAnsi="Symbol"/>
      </w:rPr>
    </w:lvl>
    <w:lvl w:ilvl="4" w:tplc="9BCED16C">
      <w:start w:val="1"/>
      <w:numFmt w:val="bullet"/>
      <w:lvlText w:val="o"/>
      <w:lvlJc w:val="left"/>
      <w:pPr>
        <w:ind w:left="3600" w:hanging="360"/>
      </w:pPr>
      <w:rPr>
        <w:rFonts w:hint="default" w:ascii="Courier New" w:hAnsi="Courier New" w:cs="Times New Roman"/>
      </w:rPr>
    </w:lvl>
    <w:lvl w:ilvl="5" w:tplc="9E8284B6">
      <w:start w:val="1"/>
      <w:numFmt w:val="bullet"/>
      <w:lvlText w:val=""/>
      <w:lvlJc w:val="left"/>
      <w:pPr>
        <w:ind w:left="4320" w:hanging="360"/>
      </w:pPr>
      <w:rPr>
        <w:rFonts w:hint="default" w:ascii="Wingdings" w:hAnsi="Wingdings"/>
      </w:rPr>
    </w:lvl>
    <w:lvl w:ilvl="6" w:tplc="DF488F90">
      <w:start w:val="1"/>
      <w:numFmt w:val="bullet"/>
      <w:lvlText w:val=""/>
      <w:lvlJc w:val="left"/>
      <w:pPr>
        <w:ind w:left="5040" w:hanging="360"/>
      </w:pPr>
      <w:rPr>
        <w:rFonts w:hint="default" w:ascii="Symbol" w:hAnsi="Symbol"/>
      </w:rPr>
    </w:lvl>
    <w:lvl w:ilvl="7" w:tplc="1A06B50A">
      <w:start w:val="1"/>
      <w:numFmt w:val="bullet"/>
      <w:lvlText w:val="o"/>
      <w:lvlJc w:val="left"/>
      <w:pPr>
        <w:ind w:left="5760" w:hanging="360"/>
      </w:pPr>
      <w:rPr>
        <w:rFonts w:hint="default" w:ascii="Courier New" w:hAnsi="Courier New" w:cs="Times New Roman"/>
      </w:rPr>
    </w:lvl>
    <w:lvl w:ilvl="8" w:tplc="B386AE6A">
      <w:start w:val="1"/>
      <w:numFmt w:val="bullet"/>
      <w:lvlText w:val=""/>
      <w:lvlJc w:val="left"/>
      <w:pPr>
        <w:ind w:left="6480" w:hanging="360"/>
      </w:pPr>
      <w:rPr>
        <w:rFonts w:hint="default" w:ascii="Wingdings" w:hAnsi="Wingdings"/>
      </w:rPr>
    </w:lvl>
  </w:abstractNum>
  <w:abstractNum w:abstractNumId="11" w15:restartNumberingAfterBreak="0">
    <w:nsid w:val="5A023B1B"/>
    <w:multiLevelType w:val="hybridMultilevel"/>
    <w:tmpl w:val="C1E4CD2A"/>
    <w:lvl w:ilvl="0" w:tplc="79D6A28A">
      <w:start w:val="1"/>
      <w:numFmt w:val="bullet"/>
      <w:pStyle w:val="BulletPoints"/>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5AD31011"/>
    <w:multiLevelType w:val="hybridMultilevel"/>
    <w:tmpl w:val="F9E097CC"/>
    <w:lvl w:ilvl="0" w:tplc="0EDED64E">
      <w:start w:val="1"/>
      <w:numFmt w:val="bullet"/>
      <w:lvlText w:val="•"/>
      <w:lvlJc w:val="left"/>
      <w:pPr>
        <w:ind w:left="36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1" w:tplc="31085F58">
      <w:start w:val="1"/>
      <w:numFmt w:val="bullet"/>
      <w:lvlText w:val="o"/>
      <w:lvlJc w:val="left"/>
      <w:pPr>
        <w:ind w:left="108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2" w:tplc="0968557A">
      <w:start w:val="1"/>
      <w:numFmt w:val="bullet"/>
      <w:lvlText w:val="▪"/>
      <w:lvlJc w:val="left"/>
      <w:pPr>
        <w:ind w:left="18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3" w:tplc="AFFAB7BC">
      <w:start w:val="1"/>
      <w:numFmt w:val="bullet"/>
      <w:lvlText w:val="•"/>
      <w:lvlJc w:val="left"/>
      <w:pPr>
        <w:ind w:left="252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4" w:tplc="1B26BF4E">
      <w:start w:val="1"/>
      <w:numFmt w:val="bullet"/>
      <w:lvlText w:val="o"/>
      <w:lvlJc w:val="left"/>
      <w:pPr>
        <w:ind w:left="324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5" w:tplc="BEF41B52">
      <w:start w:val="1"/>
      <w:numFmt w:val="bullet"/>
      <w:lvlText w:val="▪"/>
      <w:lvlJc w:val="left"/>
      <w:pPr>
        <w:ind w:left="396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6" w:tplc="78FA8686">
      <w:start w:val="1"/>
      <w:numFmt w:val="bullet"/>
      <w:lvlText w:val="•"/>
      <w:lvlJc w:val="left"/>
      <w:pPr>
        <w:ind w:left="468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7" w:tplc="4B461E9A">
      <w:start w:val="1"/>
      <w:numFmt w:val="bullet"/>
      <w:lvlText w:val="o"/>
      <w:lvlJc w:val="left"/>
      <w:pPr>
        <w:ind w:left="54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8" w:tplc="537A037E">
      <w:start w:val="1"/>
      <w:numFmt w:val="bullet"/>
      <w:lvlText w:val="▪"/>
      <w:lvlJc w:val="left"/>
      <w:pPr>
        <w:ind w:left="612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abstractNum>
  <w:abstractNum w:abstractNumId="13" w15:restartNumberingAfterBreak="0">
    <w:nsid w:val="5EA11547"/>
    <w:multiLevelType w:val="multilevel"/>
    <w:tmpl w:val="2AC650B2"/>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14" w15:restartNumberingAfterBreak="0">
    <w:nsid w:val="5F1C2335"/>
    <w:multiLevelType w:val="hybridMultilevel"/>
    <w:tmpl w:val="A0824378"/>
    <w:lvl w:ilvl="0" w:tplc="C9F086F2">
      <w:start w:val="1"/>
      <w:numFmt w:val="bullet"/>
      <w:lvlText w:val="·"/>
      <w:lvlJc w:val="left"/>
      <w:pPr>
        <w:ind w:left="720" w:hanging="360"/>
      </w:pPr>
      <w:rPr>
        <w:rFonts w:hint="default" w:ascii="Symbol" w:hAnsi="Symbol"/>
      </w:rPr>
    </w:lvl>
    <w:lvl w:ilvl="1" w:tplc="8B7A4962">
      <w:start w:val="1"/>
      <w:numFmt w:val="bullet"/>
      <w:lvlText w:val="o"/>
      <w:lvlJc w:val="left"/>
      <w:pPr>
        <w:ind w:left="1440" w:hanging="360"/>
      </w:pPr>
      <w:rPr>
        <w:rFonts w:hint="default" w:ascii="Courier New" w:hAnsi="Courier New" w:cs="Times New Roman"/>
      </w:rPr>
    </w:lvl>
    <w:lvl w:ilvl="2" w:tplc="880E1EC2">
      <w:start w:val="1"/>
      <w:numFmt w:val="bullet"/>
      <w:lvlText w:val=""/>
      <w:lvlJc w:val="left"/>
      <w:pPr>
        <w:ind w:left="2160" w:hanging="360"/>
      </w:pPr>
      <w:rPr>
        <w:rFonts w:hint="default" w:ascii="Wingdings" w:hAnsi="Wingdings"/>
      </w:rPr>
    </w:lvl>
    <w:lvl w:ilvl="3" w:tplc="5C1C2642">
      <w:start w:val="1"/>
      <w:numFmt w:val="bullet"/>
      <w:lvlText w:val=""/>
      <w:lvlJc w:val="left"/>
      <w:pPr>
        <w:ind w:left="2880" w:hanging="360"/>
      </w:pPr>
      <w:rPr>
        <w:rFonts w:hint="default" w:ascii="Symbol" w:hAnsi="Symbol"/>
      </w:rPr>
    </w:lvl>
    <w:lvl w:ilvl="4" w:tplc="FE8A8B1A">
      <w:start w:val="1"/>
      <w:numFmt w:val="bullet"/>
      <w:lvlText w:val="o"/>
      <w:lvlJc w:val="left"/>
      <w:pPr>
        <w:ind w:left="3600" w:hanging="360"/>
      </w:pPr>
      <w:rPr>
        <w:rFonts w:hint="default" w:ascii="Courier New" w:hAnsi="Courier New" w:cs="Times New Roman"/>
      </w:rPr>
    </w:lvl>
    <w:lvl w:ilvl="5" w:tplc="C670609C">
      <w:start w:val="1"/>
      <w:numFmt w:val="bullet"/>
      <w:lvlText w:val=""/>
      <w:lvlJc w:val="left"/>
      <w:pPr>
        <w:ind w:left="4320" w:hanging="360"/>
      </w:pPr>
      <w:rPr>
        <w:rFonts w:hint="default" w:ascii="Wingdings" w:hAnsi="Wingdings"/>
      </w:rPr>
    </w:lvl>
    <w:lvl w:ilvl="6" w:tplc="DF8A33FC">
      <w:start w:val="1"/>
      <w:numFmt w:val="bullet"/>
      <w:lvlText w:val=""/>
      <w:lvlJc w:val="left"/>
      <w:pPr>
        <w:ind w:left="5040" w:hanging="360"/>
      </w:pPr>
      <w:rPr>
        <w:rFonts w:hint="default" w:ascii="Symbol" w:hAnsi="Symbol"/>
      </w:rPr>
    </w:lvl>
    <w:lvl w:ilvl="7" w:tplc="D05CDD84">
      <w:start w:val="1"/>
      <w:numFmt w:val="bullet"/>
      <w:lvlText w:val="o"/>
      <w:lvlJc w:val="left"/>
      <w:pPr>
        <w:ind w:left="5760" w:hanging="360"/>
      </w:pPr>
      <w:rPr>
        <w:rFonts w:hint="default" w:ascii="Courier New" w:hAnsi="Courier New" w:cs="Times New Roman"/>
      </w:rPr>
    </w:lvl>
    <w:lvl w:ilvl="8" w:tplc="95EC1C96">
      <w:start w:val="1"/>
      <w:numFmt w:val="bullet"/>
      <w:lvlText w:val=""/>
      <w:lvlJc w:val="left"/>
      <w:pPr>
        <w:ind w:left="6480" w:hanging="360"/>
      </w:pPr>
      <w:rPr>
        <w:rFonts w:hint="default" w:ascii="Wingdings" w:hAnsi="Wingdings"/>
      </w:rPr>
    </w:lvl>
  </w:abstractNum>
  <w:abstractNum w:abstractNumId="15" w15:restartNumberingAfterBreak="0">
    <w:nsid w:val="79DA7711"/>
    <w:multiLevelType w:val="hybridMultilevel"/>
    <w:tmpl w:val="28B874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6" w15:restartNumberingAfterBreak="0">
    <w:nsid w:val="7BE977EA"/>
    <w:multiLevelType w:val="hybridMultilevel"/>
    <w:tmpl w:val="ED7AFF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181167481">
    <w:abstractNumId w:val="4"/>
  </w:num>
  <w:num w:numId="2" w16cid:durableId="713506399">
    <w:abstractNumId w:val="5"/>
  </w:num>
  <w:num w:numId="3" w16cid:durableId="1403410460">
    <w:abstractNumId w:val="11"/>
  </w:num>
  <w:num w:numId="4" w16cid:durableId="152524711">
    <w:abstractNumId w:val="12"/>
  </w:num>
  <w:num w:numId="5" w16cid:durableId="1587572164">
    <w:abstractNumId w:val="7"/>
  </w:num>
  <w:num w:numId="6" w16cid:durableId="145780080">
    <w:abstractNumId w:val="9"/>
  </w:num>
  <w:num w:numId="7" w16cid:durableId="1215894561">
    <w:abstractNumId w:val="16"/>
  </w:num>
  <w:num w:numId="8" w16cid:durableId="1059085501">
    <w:abstractNumId w:val="15"/>
  </w:num>
  <w:num w:numId="9" w16cid:durableId="314993211">
    <w:abstractNumId w:val="10"/>
  </w:num>
  <w:num w:numId="10" w16cid:durableId="1314483196">
    <w:abstractNumId w:val="14"/>
  </w:num>
  <w:num w:numId="11" w16cid:durableId="184641148">
    <w:abstractNumId w:val="13"/>
  </w:num>
  <w:num w:numId="12" w16cid:durableId="1933393659">
    <w:abstractNumId w:val="2"/>
  </w:num>
  <w:num w:numId="13" w16cid:durableId="1311523809">
    <w:abstractNumId w:val="2"/>
  </w:num>
  <w:num w:numId="14" w16cid:durableId="1085150056">
    <w:abstractNumId w:val="6"/>
  </w:num>
  <w:num w:numId="15" w16cid:durableId="1179463276">
    <w:abstractNumId w:val="8"/>
  </w:num>
  <w:num w:numId="16" w16cid:durableId="50422841">
    <w:abstractNumId w:val="3"/>
  </w:num>
  <w:num w:numId="17" w16cid:durableId="847914014">
    <w:abstractNumId w:val="1"/>
  </w:num>
  <w:num w:numId="18" w16cid:durableId="1484815946">
    <w:abstractNumId w:val="0"/>
  </w:num>
  <w:num w:numId="19" w16cid:durableId="795954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B"/>
    <w:rsid w:val="0000579E"/>
    <w:rsid w:val="00013A21"/>
    <w:rsid w:val="00043E1F"/>
    <w:rsid w:val="00073156"/>
    <w:rsid w:val="0008171B"/>
    <w:rsid w:val="000854E6"/>
    <w:rsid w:val="000B05A9"/>
    <w:rsid w:val="000D1FBB"/>
    <w:rsid w:val="000F0216"/>
    <w:rsid w:val="00102714"/>
    <w:rsid w:val="00105CE1"/>
    <w:rsid w:val="00115FA5"/>
    <w:rsid w:val="00121BD7"/>
    <w:rsid w:val="00121E16"/>
    <w:rsid w:val="00135686"/>
    <w:rsid w:val="00137765"/>
    <w:rsid w:val="00145BC9"/>
    <w:rsid w:val="00156C6C"/>
    <w:rsid w:val="0016765E"/>
    <w:rsid w:val="001705D2"/>
    <w:rsid w:val="001D62EB"/>
    <w:rsid w:val="001E1D8D"/>
    <w:rsid w:val="001E5057"/>
    <w:rsid w:val="001F34CA"/>
    <w:rsid w:val="0020058A"/>
    <w:rsid w:val="00222561"/>
    <w:rsid w:val="002273ED"/>
    <w:rsid w:val="00243B74"/>
    <w:rsid w:val="00244E6D"/>
    <w:rsid w:val="002471E6"/>
    <w:rsid w:val="00253433"/>
    <w:rsid w:val="00254DBF"/>
    <w:rsid w:val="002B27C3"/>
    <w:rsid w:val="002B6F48"/>
    <w:rsid w:val="002D0110"/>
    <w:rsid w:val="003064F3"/>
    <w:rsid w:val="00310DC5"/>
    <w:rsid w:val="00317F0F"/>
    <w:rsid w:val="00326FCE"/>
    <w:rsid w:val="00351CA4"/>
    <w:rsid w:val="00392F87"/>
    <w:rsid w:val="003A6CE4"/>
    <w:rsid w:val="003C3476"/>
    <w:rsid w:val="003D38FD"/>
    <w:rsid w:val="00401D96"/>
    <w:rsid w:val="00410CC4"/>
    <w:rsid w:val="004207CB"/>
    <w:rsid w:val="00423C3C"/>
    <w:rsid w:val="004303FB"/>
    <w:rsid w:val="00456080"/>
    <w:rsid w:val="004658B7"/>
    <w:rsid w:val="00467712"/>
    <w:rsid w:val="004711B7"/>
    <w:rsid w:val="00476D41"/>
    <w:rsid w:val="00480B1B"/>
    <w:rsid w:val="00481CC6"/>
    <w:rsid w:val="00485989"/>
    <w:rsid w:val="00492EEB"/>
    <w:rsid w:val="00496577"/>
    <w:rsid w:val="004B4862"/>
    <w:rsid w:val="004C16DE"/>
    <w:rsid w:val="004E5EA1"/>
    <w:rsid w:val="004F50F7"/>
    <w:rsid w:val="00514325"/>
    <w:rsid w:val="00520BC4"/>
    <w:rsid w:val="00527024"/>
    <w:rsid w:val="0053302C"/>
    <w:rsid w:val="00546CAE"/>
    <w:rsid w:val="00555D6B"/>
    <w:rsid w:val="00556FC9"/>
    <w:rsid w:val="00563863"/>
    <w:rsid w:val="00564AC3"/>
    <w:rsid w:val="00574B37"/>
    <w:rsid w:val="00585B22"/>
    <w:rsid w:val="005A5317"/>
    <w:rsid w:val="005C391A"/>
    <w:rsid w:val="005C4356"/>
    <w:rsid w:val="005D17CC"/>
    <w:rsid w:val="005D4667"/>
    <w:rsid w:val="005E0150"/>
    <w:rsid w:val="00604BDC"/>
    <w:rsid w:val="0060526F"/>
    <w:rsid w:val="00606AA7"/>
    <w:rsid w:val="00614F75"/>
    <w:rsid w:val="0062299A"/>
    <w:rsid w:val="00627249"/>
    <w:rsid w:val="00643A32"/>
    <w:rsid w:val="00655D03"/>
    <w:rsid w:val="00657A60"/>
    <w:rsid w:val="00692401"/>
    <w:rsid w:val="006A3060"/>
    <w:rsid w:val="006B3D2F"/>
    <w:rsid w:val="006C2698"/>
    <w:rsid w:val="00724E77"/>
    <w:rsid w:val="00745462"/>
    <w:rsid w:val="0074747E"/>
    <w:rsid w:val="00753A68"/>
    <w:rsid w:val="00784A2D"/>
    <w:rsid w:val="00786F6C"/>
    <w:rsid w:val="0079721A"/>
    <w:rsid w:val="007A0FCD"/>
    <w:rsid w:val="007A2101"/>
    <w:rsid w:val="007E0F52"/>
    <w:rsid w:val="007F4FF7"/>
    <w:rsid w:val="0080265A"/>
    <w:rsid w:val="008052BD"/>
    <w:rsid w:val="00806E33"/>
    <w:rsid w:val="00815A4F"/>
    <w:rsid w:val="00832206"/>
    <w:rsid w:val="008362F1"/>
    <w:rsid w:val="008417DA"/>
    <w:rsid w:val="00861085"/>
    <w:rsid w:val="00861B79"/>
    <w:rsid w:val="00881BFB"/>
    <w:rsid w:val="0088412B"/>
    <w:rsid w:val="0088517E"/>
    <w:rsid w:val="008B1724"/>
    <w:rsid w:val="008C1D0F"/>
    <w:rsid w:val="008C2410"/>
    <w:rsid w:val="008D5943"/>
    <w:rsid w:val="008E5947"/>
    <w:rsid w:val="00920109"/>
    <w:rsid w:val="0093246C"/>
    <w:rsid w:val="00944278"/>
    <w:rsid w:val="00960C41"/>
    <w:rsid w:val="00974E34"/>
    <w:rsid w:val="009C21B7"/>
    <w:rsid w:val="00A063DE"/>
    <w:rsid w:val="00A06AD5"/>
    <w:rsid w:val="00A34E86"/>
    <w:rsid w:val="00A36958"/>
    <w:rsid w:val="00A44234"/>
    <w:rsid w:val="00A5500A"/>
    <w:rsid w:val="00A62F87"/>
    <w:rsid w:val="00AC6EFA"/>
    <w:rsid w:val="00AD50D1"/>
    <w:rsid w:val="00B2474A"/>
    <w:rsid w:val="00B31577"/>
    <w:rsid w:val="00B3191C"/>
    <w:rsid w:val="00BA567B"/>
    <w:rsid w:val="00BB6626"/>
    <w:rsid w:val="00BC27E9"/>
    <w:rsid w:val="00BC2C9C"/>
    <w:rsid w:val="00BD570D"/>
    <w:rsid w:val="00BE1BFC"/>
    <w:rsid w:val="00BF1844"/>
    <w:rsid w:val="00C0028B"/>
    <w:rsid w:val="00C42A17"/>
    <w:rsid w:val="00C473CC"/>
    <w:rsid w:val="00C75FE1"/>
    <w:rsid w:val="00C83721"/>
    <w:rsid w:val="00C873CD"/>
    <w:rsid w:val="00C942EA"/>
    <w:rsid w:val="00C966E9"/>
    <w:rsid w:val="00CC0DFB"/>
    <w:rsid w:val="00CD0AA8"/>
    <w:rsid w:val="00CD0CE3"/>
    <w:rsid w:val="00CD518B"/>
    <w:rsid w:val="00CD7392"/>
    <w:rsid w:val="00CD7409"/>
    <w:rsid w:val="00CE46A1"/>
    <w:rsid w:val="00D037B8"/>
    <w:rsid w:val="00D4190C"/>
    <w:rsid w:val="00D44F16"/>
    <w:rsid w:val="00D5070F"/>
    <w:rsid w:val="00D743CA"/>
    <w:rsid w:val="00D86978"/>
    <w:rsid w:val="00D87856"/>
    <w:rsid w:val="00E0363F"/>
    <w:rsid w:val="00E102FE"/>
    <w:rsid w:val="00E11FE8"/>
    <w:rsid w:val="00E24DE8"/>
    <w:rsid w:val="00E5655B"/>
    <w:rsid w:val="00E60237"/>
    <w:rsid w:val="00EC2D15"/>
    <w:rsid w:val="00ED1B1F"/>
    <w:rsid w:val="00EE178A"/>
    <w:rsid w:val="00EE7242"/>
    <w:rsid w:val="00EF2717"/>
    <w:rsid w:val="00F03C8B"/>
    <w:rsid w:val="00F04057"/>
    <w:rsid w:val="00F14FE7"/>
    <w:rsid w:val="00F16679"/>
    <w:rsid w:val="00F4391B"/>
    <w:rsid w:val="00F45082"/>
    <w:rsid w:val="00F539F3"/>
    <w:rsid w:val="00F70ABF"/>
    <w:rsid w:val="00F9379A"/>
    <w:rsid w:val="00F968F5"/>
    <w:rsid w:val="00FA365E"/>
    <w:rsid w:val="00FC7966"/>
    <w:rsid w:val="00FD186B"/>
    <w:rsid w:val="00FD4C94"/>
    <w:rsid w:val="00FE7C44"/>
    <w:rsid w:val="00FF1DF3"/>
    <w:rsid w:val="1FABAF70"/>
    <w:rsid w:val="246DCCE3"/>
    <w:rsid w:val="269E255C"/>
    <w:rsid w:val="2B3BD4BF"/>
    <w:rsid w:val="46B98346"/>
    <w:rsid w:val="481D1A50"/>
    <w:rsid w:val="55203A76"/>
    <w:rsid w:val="581EE257"/>
    <w:rsid w:val="77146BD1"/>
    <w:rsid w:val="7A79C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1708"/>
  <w15:docId w15:val="{DC059028-1722-4E01-91AB-504C8602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12B"/>
    <w:pPr>
      <w:widowControl/>
      <w:autoSpaceDE/>
      <w:autoSpaceDN/>
      <w:spacing w:line="276" w:lineRule="auto"/>
      <w:ind w:left="370" w:right="28" w:hanging="370"/>
    </w:pPr>
    <w:rPr>
      <w:rFonts w:ascii="Arial" w:hAnsi="Arial" w:eastAsia="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BA567B"/>
    <w:pPr>
      <w:keepNext/>
      <w:keepLines/>
      <w:spacing w:after="360"/>
      <w:ind w:left="0" w:right="29" w:firstLine="0"/>
      <w:outlineLvl w:val="0"/>
    </w:pPr>
    <w:rPr>
      <w:rFonts w:ascii="Times New Roman" w:hAnsi="Times New Roman" w:cs="Times New Roman"/>
      <w:b/>
      <w:bCs/>
      <w:color w:val="000000" w:themeColor="text1"/>
      <w:spacing w:val="10"/>
      <w:sz w:val="28"/>
      <w:szCs w:val="28"/>
    </w:rPr>
  </w:style>
  <w:style w:type="paragraph" w:styleId="Heading2">
    <w:name w:val="heading 2"/>
    <w:aliases w:val="Intros"/>
    <w:basedOn w:val="Normal"/>
    <w:link w:val="Heading2Char"/>
    <w:uiPriority w:val="9"/>
    <w:qFormat/>
    <w:rsid w:val="008417DA"/>
    <w:pPr>
      <w:outlineLvl w:val="1"/>
    </w:pPr>
    <w:rPr>
      <w:sz w:val="28"/>
      <w:szCs w:val="28"/>
    </w:rPr>
  </w:style>
  <w:style w:type="paragraph" w:styleId="Heading3">
    <w:name w:val="heading 3"/>
    <w:basedOn w:val="Normal"/>
    <w:next w:val="Normal"/>
    <w:link w:val="Heading3Char"/>
    <w:uiPriority w:val="9"/>
    <w:unhideWhenUsed/>
    <w:rsid w:val="00D87856"/>
    <w:pPr>
      <w:keepNext/>
      <w:keepLines/>
      <w:spacing w:before="40"/>
      <w:outlineLvl w:val="2"/>
    </w:pPr>
    <w:rPr>
      <w:rFonts w:ascii="Calibri" w:hAnsi="Calibri" w:cs="Calibri"/>
      <w:b/>
      <w:bCs/>
      <w:color w:val="002060"/>
    </w:rPr>
  </w:style>
  <w:style w:type="paragraph" w:styleId="Heading4">
    <w:name w:val="heading 4"/>
    <w:aliases w:val="Subheads"/>
    <w:basedOn w:val="Normal"/>
    <w:next w:val="Normal"/>
    <w:link w:val="Heading4Char"/>
    <w:uiPriority w:val="9"/>
    <w:unhideWhenUsed/>
    <w:qFormat/>
    <w:rsid w:val="000D1FBB"/>
    <w:pPr>
      <w:spacing w:after="120"/>
      <w:outlineLvl w:val="3"/>
    </w:pPr>
    <w:rPr>
      <w:b/>
      <w:bCs/>
      <w:sz w:val="20"/>
      <w:szCs w:val="20"/>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A44234"/>
    <w:pPr>
      <w:numPr>
        <w:numId w:val="3"/>
      </w:numPr>
      <w:spacing w:before="240" w:after="240" w:line="280" w:lineRule="exact"/>
      <w:ind w:right="360"/>
      <w:contextualSpacing/>
    </w:p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spacing w:after="225"/>
      <w:jc w:val="both"/>
    </w:pPr>
    <w:rPr>
      <w:sz w:val="20"/>
      <w:szCs w:val="20"/>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link w:val="ListParagraphChar"/>
    <w:uiPriority w:val="34"/>
    <w:qFormat/>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BA567B"/>
    <w:rPr>
      <w:rFonts w:ascii="Times New Roman" w:hAnsi="Times New Roman" w:eastAsia="Arial" w:cs="Times New Roman"/>
      <w:b/>
      <w:bCs/>
      <w:color w:val="000000" w:themeColor="text1"/>
      <w:spacing w:val="10"/>
      <w:kern w:val="2"/>
      <w:sz w:val="28"/>
      <w:szCs w:val="28"/>
      <w14:ligatures w14:val="standardContextual"/>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ind w:left="370" w:hanging="37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adjustRightInd w:val="0"/>
      <w:spacing w:line="288" w:lineRule="auto"/>
      <w:textAlignment w:val="center"/>
    </w:pPr>
    <w:rPr>
      <w:rFonts w:ascii="MinionPro-Regular" w:hAnsi="MinionPro-Regular" w:cs="MinionPro-Regular" w:eastAsiaTheme="minorHAnsi"/>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pPr>
    <w:rPr>
      <w:rFonts w:asciiTheme="minorHAnsi" w:hAnsiTheme="minorHAnsi" w:eastAsiaTheme="minorHAnsi" w:cstheme="minorHAnsi"/>
      <w:b/>
      <w:bCs/>
    </w:rPr>
  </w:style>
  <w:style w:type="paragraph" w:styleId="HeadersSlugs" w:customStyle="1">
    <w:name w:val="Headers / Slugs"/>
    <w:basedOn w:val="Heading1"/>
    <w:qFormat/>
    <w:rsid w:val="00B2474A"/>
    <w:pPr>
      <w:spacing w:after="160" w:line="240" w:lineRule="auto"/>
    </w:pPr>
    <w:rPr>
      <w:b w:val="0"/>
      <w:sz w:val="24"/>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pPr>
    <w:rPr>
      <w:rFonts w:asciiTheme="minorHAnsi" w:hAnsiTheme="minorHAnsi" w:eastAsiaTheme="minorEastAsia" w:cstheme="minorBidi"/>
      <w:lang w:eastAsia="zh-CN"/>
    </w:rPr>
  </w:style>
  <w:style w:type="character" w:styleId="FooterChar" w:customStyle="1">
    <w:name w:val="Footer Char"/>
    <w:basedOn w:val="DefaultParagraphFont"/>
    <w:link w:val="Footer"/>
    <w:uiPriority w:val="99"/>
    <w:rsid w:val="00546CAE"/>
    <w:rPr>
      <w:rFonts w:eastAsiaTheme="minorEastAsia"/>
      <w:lang w:eastAsia="zh-CN"/>
    </w:rPr>
  </w:style>
  <w:style w:type="character" w:styleId="ListParagraphChar" w:customStyle="1">
    <w:name w:val="List Paragraph Char"/>
    <w:basedOn w:val="DefaultParagraphFont"/>
    <w:link w:val="ListParagraph"/>
    <w:uiPriority w:val="34"/>
    <w:locked/>
    <w:rsid w:val="00A063DE"/>
    <w:rPr>
      <w:rFonts w:eastAsia="Arial" w:cs="Arial"/>
      <w:color w:val="000000"/>
      <w:kern w:val="2"/>
      <w:sz w:val="24"/>
      <w:szCs w:val="24"/>
      <w14:ligatures w14:val="standardContextual"/>
    </w:rPr>
  </w:style>
  <w:style w:type="character" w:styleId="FollowedHyperlink">
    <w:name w:val="FollowedHyperlink"/>
    <w:basedOn w:val="DefaultParagraphFont"/>
    <w:uiPriority w:val="99"/>
    <w:semiHidden/>
    <w:unhideWhenUsed/>
    <w:rsid w:val="00784A2D"/>
    <w:rPr>
      <w:color w:val="800080" w:themeColor="followedHyperlink"/>
      <w:u w:val="single"/>
    </w:rPr>
  </w:style>
  <w:style w:type="paragraph" w:styleId="paragraph" w:customStyle="1">
    <w:name w:val="paragraph"/>
    <w:basedOn w:val="Normal"/>
    <w:rsid w:val="00606AA7"/>
    <w:pPr>
      <w:spacing w:before="100" w:beforeAutospacing="1" w:after="100" w:afterAutospacing="1" w:line="240" w:lineRule="auto"/>
      <w:ind w:left="0" w:right="0" w:firstLine="0"/>
    </w:pPr>
    <w:rPr>
      <w:rFonts w:ascii="Times New Roman" w:hAnsi="Times New Roman" w:eastAsia="Times New Roman" w:cs="Times New Roman"/>
      <w:color w:val="auto"/>
      <w:kern w:val="0"/>
      <w14:ligatures w14:val="none"/>
    </w:rPr>
  </w:style>
  <w:style w:type="character" w:styleId="normaltextrun" w:customStyle="1">
    <w:name w:val="normaltextrun"/>
    <w:basedOn w:val="DefaultParagraphFont"/>
    <w:rsid w:val="00606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1768378338">
          <w:marLeft w:val="432"/>
          <w:marRight w:val="216"/>
          <w:marTop w:val="0"/>
          <w:marBottom w:val="0"/>
          <w:divBdr>
            <w:top w:val="none" w:sz="0" w:space="0" w:color="auto"/>
            <w:left w:val="none" w:sz="0" w:space="0" w:color="auto"/>
            <w:bottom w:val="none" w:sz="0" w:space="0" w:color="auto"/>
            <w:right w:val="none" w:sz="0" w:space="0" w:color="auto"/>
          </w:divBdr>
        </w:div>
        <w:div w:id="530845204">
          <w:marLeft w:val="216"/>
          <w:marRight w:val="432"/>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file:///C:\Users\Susan.Sullivan\AppData\Local\Microsoft\Olk\Attachments\ooa-04591ccc-9b51-4b6c-bfc0-25901ed561c8\675cf5cd085d91ca7a59d1507ce43eacb85c97e45f57428f7ed48759cdac41a3\creditunionsrevealed.com"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reditunionsrevealed.com/" TargetMode="Externa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s://www.icba.org/docs/default-source/icba/advocacy-documents/letters-to-congress/icba-letter-to-request-senate-finance-hearing-on-credit-union-tax-exemption.pdf" TargetMode="External"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icba.org/docs/default-source/icba/advocacy-documents/letters-to-congress/icba-letter-to-request-senate-finance-hearing-on-credit-union-tax-exemption.pdf" TargetMode="External" Id="rId14" /><Relationship Type="http://schemas.openxmlformats.org/officeDocument/2006/relationships/header" Target="header3.xml" Id="rId22" /><Relationship Type="http://schemas.openxmlformats.org/officeDocument/2006/relationships/hyperlink" Target="https://www.icba.org/docs/default-source/icba/advocacy-documents/letters-to-regulators/icba-letter-to-treasury-on-credit-union-acquisition-of-community-banks.pdf" TargetMode="External" Id="R26c41ff5bfe1448e" /><Relationship Type="http://schemas.openxmlformats.org/officeDocument/2006/relationships/hyperlink" Target="https://www.icba.org/docs/default-source/icba/advocacy-documents/letters-to-regulators/icba-letter-to-treasury-on-credit-union-acquisition-of-community-banks.pdf" TargetMode="External" Id="R834b191b3ec148d2" /><Relationship Type="http://schemas.microsoft.com/office/2020/10/relationships/intelligence" Target="intelligence2.xml" Id="R708c6b54452b4831"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DIGITAL-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c345e2f-c454-4e8c-b48e-e496fd5664fc">
      <Terms xmlns="http://schemas.microsoft.com/office/infopath/2007/PartnerControls"/>
    </lcf76f155ced4ddcb4097134ff3c332f>
    <TaxCatchAll xmlns="54069256-e3ab-48b9-a674-d348a06f16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2.xml><?xml version="1.0" encoding="utf-8"?>
<ds:datastoreItem xmlns:ds="http://schemas.openxmlformats.org/officeDocument/2006/customXml" ds:itemID="{AFF4A89A-C11A-4BB4-A4DE-98FC24DA3997}">
  <ds:schemaRefs>
    <ds:schemaRef ds:uri="http://schemas.microsoft.com/office/2006/metadata/properties"/>
    <ds:schemaRef ds:uri="http://schemas.microsoft.com/office/infopath/2007/PartnerControls"/>
    <ds:schemaRef ds:uri="http://schemas.microsoft.com/sharepoint/v3"/>
    <ds:schemaRef ds:uri="bc345e2f-c454-4e8c-b48e-e496fd5664fc"/>
    <ds:schemaRef ds:uri="54069256-e3ab-48b9-a674-d348a06f1628"/>
  </ds:schemaRefs>
</ds:datastoreItem>
</file>

<file path=customXml/itemProps3.xml><?xml version="1.0" encoding="utf-8"?>
<ds:datastoreItem xmlns:ds="http://schemas.openxmlformats.org/officeDocument/2006/customXml" ds:itemID="{5D274539-A69B-4DE8-924C-670718FE12D4}">
  <ds:schemaRefs>
    <ds:schemaRef ds:uri="http://schemas.microsoft.com/sharepoint/v3/contenttype/forms"/>
  </ds:schemaRefs>
</ds:datastoreItem>
</file>

<file path=customXml/itemProps4.xml><?xml version="1.0" encoding="utf-8"?>
<ds:datastoreItem xmlns:ds="http://schemas.openxmlformats.org/officeDocument/2006/customXml" ds:itemID="{247B484B-E793-4491-90A1-C1EF0ED24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ICBA Letterhead DIGITAL-new</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Alan Keller</dc:creator>
  <lastModifiedBy>Carla Taylor-Badawu</lastModifiedBy>
  <revision>3</revision>
  <dcterms:created xsi:type="dcterms:W3CDTF">2026-09-01T15:42:00.0000000Z</dcterms:created>
  <dcterms:modified xsi:type="dcterms:W3CDTF">2026-09-02T14:35:11.8477490Z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