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35293" w:rsidR="00035293" w:rsidP="00035293" w:rsidRDefault="00035293" w14:paraId="2D1A68E5" w14:textId="77777777">
      <w:pPr>
        <w:spacing w:line="240" w:lineRule="auto"/>
        <w:jc w:val="right"/>
        <w:rPr>
          <w:b/>
          <w:bCs/>
          <w:color w:val="0D0D0D" w:themeColor="text1" w:themeTint="F2"/>
        </w:rPr>
      </w:pPr>
      <w:r w:rsidRPr="00035293">
        <w:rPr>
          <w:b/>
          <w:bCs/>
          <w:noProof/>
          <w:color w:val="0D0D0D" w:themeColor="text1" w:themeTint="F2"/>
          <w14:ligatures w14:val="none"/>
        </w:rPr>
        <mc:AlternateContent>
          <mc:Choice Requires="wps">
            <w:drawing>
              <wp:anchor distT="0" distB="0" distL="114300" distR="114300" simplePos="0" relativeHeight="251659264" behindDoc="0" locked="0" layoutInCell="1" allowOverlap="1" wp14:anchorId="6936D7FB" wp14:editId="78089A43">
                <wp:simplePos x="0" y="0"/>
                <wp:positionH relativeFrom="column">
                  <wp:posOffset>6350</wp:posOffset>
                </wp:positionH>
                <wp:positionV relativeFrom="paragraph">
                  <wp:posOffset>-209550</wp:posOffset>
                </wp:positionV>
                <wp:extent cx="6362700" cy="19050"/>
                <wp:effectExtent l="0" t="0" r="19050" b="19050"/>
                <wp:wrapNone/>
                <wp:docPr id="2117042021" name="Straight Connector 1"/>
                <wp:cNvGraphicFramePr/>
                <a:graphic xmlns:a="http://schemas.openxmlformats.org/drawingml/2006/main">
                  <a:graphicData uri="http://schemas.microsoft.com/office/word/2010/wordprocessingShape">
                    <wps:wsp>
                      <wps:cNvCnPr/>
                      <wps:spPr>
                        <a:xfrm flipV="1">
                          <a:off x="0" y="0"/>
                          <a:ext cx="6362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16.5pt" to="501.5pt,-15pt" w14:anchorId="3BBB1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"/>
            </w:pict>
          </mc:Fallback>
        </mc:AlternateContent>
      </w:r>
      <w:r w:rsidRPr="00035293">
        <w:rPr>
          <w:b/>
          <w:bCs/>
          <w:color w:val="0D0D0D" w:themeColor="text1" w:themeTint="F2"/>
        </w:rPr>
        <w:t>September 2026</w:t>
      </w:r>
    </w:p>
    <w:p w:rsidRPr="00035293" w:rsidR="00035293" w:rsidP="00035293" w:rsidRDefault="00035293" w14:paraId="5BF25D23" w14:textId="77777777">
      <w:pPr>
        <w:pStyle w:val="Heading1"/>
        <w:spacing w:after="0" w:line="240" w:lineRule="auto"/>
        <w:rPr>
          <w:rFonts w:ascii="Arial" w:hAnsi="Arial" w:cs="Arial"/>
          <w:sz w:val="24"/>
          <w:szCs w:val="24"/>
        </w:rPr>
      </w:pPr>
    </w:p>
    <w:p w:rsidRPr="00035293" w:rsidR="000265A4" w:rsidP="00035293" w:rsidRDefault="000265A4" w14:paraId="0B0E604E" w14:textId="629F8278">
      <w:pPr>
        <w:pStyle w:val="Heading1"/>
        <w:spacing w:after="0" w:line="240" w:lineRule="auto"/>
        <w:rPr>
          <w:rFonts w:ascii="Arial" w:hAnsi="Arial" w:eastAsia="Times New Roman" w:cs="Arial"/>
          <w:kern w:val="0"/>
          <w:sz w:val="24"/>
          <w:szCs w:val="24"/>
          <w14:ligatures w14:val="none"/>
        </w:rPr>
      </w:pPr>
      <w:r w:rsidRPr="6914AC06" w:rsidR="6C3549FE">
        <w:rPr>
          <w:rFonts w:ascii="Arial" w:hAnsi="Arial" w:cs="Arial"/>
          <w:sz w:val="24"/>
          <w:szCs w:val="24"/>
        </w:rPr>
        <w:t xml:space="preserve">ICBA </w:t>
      </w:r>
      <w:r w:rsidRPr="6914AC06" w:rsidR="5D23EE35">
        <w:rPr>
          <w:rFonts w:ascii="Arial" w:hAnsi="Arial" w:cs="Arial"/>
          <w:sz w:val="24"/>
          <w:szCs w:val="24"/>
        </w:rPr>
        <w:t xml:space="preserve">Legislative Update: Expand the Access to Credit for our Rural Economy (ACRE) Act </w:t>
      </w:r>
    </w:p>
    <w:p w:rsidR="00035293" w:rsidP="00035293" w:rsidRDefault="00035293" w14:paraId="4E74FABC" w14:textId="77777777">
      <w:pPr>
        <w:spacing w:line="240" w:lineRule="auto"/>
        <w:ind w:left="0" w:right="29" w:firstLine="0"/>
        <w:rPr>
          <w:rFonts w:ascii="Times New Roman" w:hAnsi="Times New Roman" w:cs="Times New Roman"/>
          <w:b/>
          <w:bCs/>
        </w:rPr>
      </w:pPr>
    </w:p>
    <w:p w:rsidRPr="00035293" w:rsidR="000265A4" w:rsidP="00035293" w:rsidRDefault="000265A4" w14:paraId="41914383" w14:textId="1A872A78">
      <w:pPr>
        <w:spacing w:line="240" w:lineRule="auto"/>
        <w:ind w:left="0" w:right="29" w:firstLine="0"/>
        <w:rPr>
          <w:sz w:val="22"/>
          <w:szCs w:val="22"/>
        </w:rPr>
      </w:pPr>
      <w:r w:rsidRPr="642F8CC8" w:rsidR="000265A4">
        <w:rPr>
          <w:b w:val="1"/>
          <w:bCs w:val="1"/>
          <w:sz w:val="22"/>
          <w:szCs w:val="22"/>
        </w:rPr>
        <w:t>Overview:</w:t>
      </w:r>
      <w:r w:rsidRPr="642F8CC8" w:rsidR="000265A4">
        <w:rPr>
          <w:sz w:val="22"/>
          <w:szCs w:val="22"/>
        </w:rPr>
        <w:t xml:space="preserve"> A version of the ACRE Act, sponsored by Rep. Randy Feenstra (R-IA) and Sen. Jerry Moran (R-KS), was included in the One Big Beautiful Bill Act, signed into law in July 2025 as Section 139L of the tax code. The new law </w:t>
      </w:r>
      <w:bookmarkStart w:name="_Int_cq3ybd8q" w:id="1784288042"/>
      <w:r w:rsidRPr="642F8CC8" w:rsidR="000265A4">
        <w:rPr>
          <w:sz w:val="22"/>
          <w:szCs w:val="22"/>
        </w:rPr>
        <w:t>provides for</w:t>
      </w:r>
      <w:bookmarkEnd w:id="1784288042"/>
      <w:r w:rsidRPr="642F8CC8" w:rsidR="000265A4">
        <w:rPr>
          <w:sz w:val="22"/>
          <w:szCs w:val="22"/>
        </w:rPr>
        <w:t xml:space="preserve"> a 25 percent tax exclusion of income generated from loans secured by agricultural land. The IRS has issued guidance, which many community banks are relying on to extend loans under Section 139L. </w:t>
      </w:r>
    </w:p>
    <w:p w:rsidRPr="00035293" w:rsidR="000265A4" w:rsidP="00035293" w:rsidRDefault="000265A4" w14:paraId="7CD7D4C0" w14:textId="77777777">
      <w:pPr>
        <w:spacing w:line="240" w:lineRule="auto"/>
        <w:rPr>
          <w:sz w:val="22"/>
          <w:szCs w:val="22"/>
        </w:rPr>
      </w:pPr>
    </w:p>
    <w:p w:rsidRPr="00035293" w:rsidR="000265A4" w:rsidP="5259D274" w:rsidRDefault="000265A4" w14:paraId="7F09B39F" w14:textId="77777777">
      <w:pPr>
        <w:spacing w:line="240" w:lineRule="auto"/>
        <w:ind w:left="0" w:hanging="0"/>
        <w:rPr>
          <w:sz w:val="22"/>
          <w:szCs w:val="22"/>
        </w:rPr>
      </w:pPr>
      <w:r w:rsidRPr="642F8CC8" w:rsidR="5D23EE35">
        <w:rPr>
          <w:sz w:val="22"/>
          <w:szCs w:val="22"/>
        </w:rPr>
        <w:t xml:space="preserve">ICBA is pressing Congress to introduce </w:t>
      </w:r>
      <w:bookmarkStart w:name="_Int_QAojSOO1" w:id="1782428676"/>
      <w:r w:rsidRPr="642F8CC8" w:rsidR="5D23EE35">
        <w:rPr>
          <w:sz w:val="22"/>
          <w:szCs w:val="22"/>
        </w:rPr>
        <w:t>a new version</w:t>
      </w:r>
      <w:bookmarkEnd w:id="1782428676"/>
      <w:r w:rsidRPr="642F8CC8" w:rsidR="5D23EE35">
        <w:rPr>
          <w:sz w:val="22"/>
          <w:szCs w:val="22"/>
        </w:rPr>
        <w:t xml:space="preserve"> of ACRE that would:</w:t>
      </w:r>
    </w:p>
    <w:p w:rsidRPr="00035293" w:rsidR="000265A4" w:rsidP="00035293" w:rsidRDefault="000265A4" w14:paraId="323CCDED" w14:textId="77777777">
      <w:pPr>
        <w:spacing w:line="240" w:lineRule="auto"/>
        <w:rPr>
          <w:sz w:val="22"/>
          <w:szCs w:val="22"/>
        </w:rPr>
      </w:pPr>
    </w:p>
    <w:p w:rsidRPr="00035293" w:rsidR="000265A4" w:rsidP="00035293" w:rsidRDefault="000265A4" w14:paraId="61B4DDFA" w14:textId="77777777">
      <w:pPr>
        <w:pStyle w:val="ListParagraph"/>
        <w:widowControl w:val="0"/>
        <w:numPr>
          <w:ilvl w:val="0"/>
          <w:numId w:val="30"/>
        </w:numPr>
        <w:autoSpaceDE w:val="0"/>
        <w:autoSpaceDN w:val="0"/>
        <w:spacing w:line="240" w:lineRule="auto"/>
        <w:ind w:right="0"/>
        <w:rPr>
          <w:rFonts w:ascii="Arial" w:hAnsi="Arial"/>
          <w:sz w:val="22"/>
          <w:szCs w:val="22"/>
        </w:rPr>
      </w:pPr>
      <w:r w:rsidRPr="00035293">
        <w:rPr>
          <w:rFonts w:ascii="Arial" w:hAnsi="Arial"/>
          <w:sz w:val="22"/>
          <w:szCs w:val="22"/>
        </w:rPr>
        <w:t>Expand the income exclusion to 50 percent or higher.</w:t>
      </w:r>
    </w:p>
    <w:p w:rsidRPr="00035293" w:rsidR="000265A4" w:rsidP="00035293" w:rsidRDefault="000265A4" w14:paraId="72B4BAB3" w14:textId="77777777">
      <w:pPr>
        <w:pStyle w:val="ListParagraph"/>
        <w:widowControl w:val="0"/>
        <w:numPr>
          <w:ilvl w:val="0"/>
          <w:numId w:val="30"/>
        </w:numPr>
        <w:autoSpaceDE w:val="0"/>
        <w:autoSpaceDN w:val="0"/>
        <w:spacing w:line="240" w:lineRule="auto"/>
        <w:ind w:right="0"/>
        <w:rPr>
          <w:rFonts w:ascii="Arial" w:hAnsi="Arial"/>
          <w:sz w:val="22"/>
          <w:szCs w:val="22"/>
        </w:rPr>
      </w:pPr>
      <w:r w:rsidRPr="00035293">
        <w:rPr>
          <w:rFonts w:ascii="Arial" w:hAnsi="Arial"/>
          <w:sz w:val="22"/>
          <w:szCs w:val="22"/>
        </w:rPr>
        <w:t>Apply the exclusion to income on residential mortgages in towns of less than 2,500 population.</w:t>
      </w:r>
    </w:p>
    <w:p w:rsidRPr="00035293" w:rsidR="000265A4" w:rsidP="00035293" w:rsidRDefault="000265A4" w14:paraId="1A6B6109" w14:textId="77777777">
      <w:pPr>
        <w:pStyle w:val="ListParagraph"/>
        <w:widowControl w:val="0"/>
        <w:numPr>
          <w:ilvl w:val="0"/>
          <w:numId w:val="30"/>
        </w:numPr>
        <w:autoSpaceDE w:val="0"/>
        <w:autoSpaceDN w:val="0"/>
        <w:spacing w:line="240" w:lineRule="auto"/>
        <w:ind w:right="0"/>
        <w:rPr>
          <w:rFonts w:ascii="Arial" w:hAnsi="Arial"/>
          <w:sz w:val="22"/>
          <w:szCs w:val="22"/>
        </w:rPr>
      </w:pPr>
      <w:r w:rsidRPr="00035293">
        <w:rPr>
          <w:rFonts w:ascii="Arial" w:hAnsi="Arial"/>
          <w:sz w:val="22"/>
          <w:szCs w:val="22"/>
        </w:rPr>
        <w:t xml:space="preserve">Apply the exclusion to refinanced loans </w:t>
      </w:r>
      <w:proofErr w:type="gramStart"/>
      <w:r w:rsidRPr="00035293">
        <w:rPr>
          <w:rFonts w:ascii="Arial" w:hAnsi="Arial"/>
          <w:sz w:val="22"/>
          <w:szCs w:val="22"/>
        </w:rPr>
        <w:t>that were</w:t>
      </w:r>
      <w:proofErr w:type="gramEnd"/>
      <w:r w:rsidRPr="00035293">
        <w:rPr>
          <w:rFonts w:ascii="Arial" w:hAnsi="Arial"/>
          <w:sz w:val="22"/>
          <w:szCs w:val="22"/>
        </w:rPr>
        <w:t xml:space="preserve"> originated before July 4, 2025.</w:t>
      </w:r>
    </w:p>
    <w:p w:rsidRPr="00035293" w:rsidR="000265A4" w:rsidP="00035293" w:rsidRDefault="000265A4" w14:paraId="2476616D" w14:textId="77777777">
      <w:pPr>
        <w:spacing w:line="240" w:lineRule="auto"/>
        <w:rPr>
          <w:sz w:val="22"/>
          <w:szCs w:val="22"/>
        </w:rPr>
      </w:pPr>
    </w:p>
    <w:p w:rsidRPr="00035293" w:rsidR="000265A4" w:rsidP="5259D274" w:rsidRDefault="000265A4" w14:paraId="6C844D30" w14:textId="77777777">
      <w:pPr>
        <w:spacing w:line="240" w:lineRule="auto"/>
        <w:ind w:left="0" w:hanging="0"/>
        <w:rPr>
          <w:sz w:val="22"/>
          <w:szCs w:val="22"/>
        </w:rPr>
      </w:pPr>
      <w:r w:rsidRPr="5259D274" w:rsidR="5D23EE35">
        <w:rPr>
          <w:sz w:val="22"/>
          <w:szCs w:val="22"/>
        </w:rPr>
        <w:t>Congress could expand ACRE by applying one or more of these options.</w:t>
      </w:r>
    </w:p>
    <w:p w:rsidRPr="00035293" w:rsidR="000265A4" w:rsidP="00035293" w:rsidRDefault="000265A4" w14:paraId="2A922C4A" w14:textId="77777777">
      <w:pPr>
        <w:spacing w:line="240" w:lineRule="auto"/>
        <w:rPr>
          <w:sz w:val="22"/>
          <w:szCs w:val="22"/>
        </w:rPr>
      </w:pPr>
    </w:p>
    <w:p w:rsidRPr="00035293" w:rsidR="000265A4" w:rsidP="00035293" w:rsidRDefault="000265A4" w14:paraId="44B9E47B" w14:textId="77777777">
      <w:pPr>
        <w:spacing w:line="240" w:lineRule="auto"/>
        <w:ind w:left="0" w:right="29" w:firstLine="0"/>
        <w:rPr>
          <w:sz w:val="22"/>
          <w:szCs w:val="22"/>
        </w:rPr>
      </w:pPr>
      <w:r w:rsidRPr="00035293">
        <w:rPr>
          <w:sz w:val="22"/>
          <w:szCs w:val="22"/>
        </w:rPr>
        <w:t xml:space="preserve">An expanded ACRE would further lower the cost of credit for farmers, ranchers, and potentially rural homeowners while creating a more equitable and competitive rural lending environment. Community banks compete with tax-exempt lenders in rural America that already enjoy this benefit. An expanded ACRE would promote the viability of farmers and ranchers, rural communities, and community banks in a challenging economic environment. </w:t>
      </w:r>
    </w:p>
    <w:p w:rsidRPr="00035293" w:rsidR="000265A4" w:rsidP="00035293" w:rsidRDefault="000265A4" w14:paraId="2A7F151B" w14:textId="77777777">
      <w:pPr>
        <w:spacing w:line="240" w:lineRule="auto"/>
        <w:rPr>
          <w:sz w:val="22"/>
          <w:szCs w:val="22"/>
        </w:rPr>
      </w:pPr>
    </w:p>
    <w:p w:rsidRPr="00035293" w:rsidR="000265A4" w:rsidP="00035293" w:rsidRDefault="000265A4" w14:paraId="68597F27" w14:textId="77777777">
      <w:pPr>
        <w:spacing w:line="240" w:lineRule="auto"/>
        <w:ind w:left="0" w:right="29" w:firstLine="0"/>
        <w:rPr>
          <w:sz w:val="22"/>
          <w:szCs w:val="22"/>
        </w:rPr>
      </w:pPr>
      <w:r w:rsidRPr="642F8CC8" w:rsidR="000265A4">
        <w:rPr>
          <w:sz w:val="22"/>
          <w:szCs w:val="22"/>
        </w:rPr>
        <w:t xml:space="preserve">Farmers and ranchers, as well as rural communities built around agriculture, must have access to affordable credit to survive and prosper. Challenges faced by rural communities include volatile weather, fluctuating commodity prices, rising input costs (including fertilizer and diesel), elevated interest rates, and tight cash flows. Profit margins are often </w:t>
      </w:r>
      <w:bookmarkStart w:name="_Int_8fVfQ1U2" w:id="790175765"/>
      <w:r w:rsidRPr="642F8CC8" w:rsidR="000265A4">
        <w:rPr>
          <w:sz w:val="22"/>
          <w:szCs w:val="22"/>
        </w:rPr>
        <w:t>thin</w:t>
      </w:r>
      <w:bookmarkEnd w:id="790175765"/>
      <w:r w:rsidRPr="642F8CC8" w:rsidR="000265A4">
        <w:rPr>
          <w:sz w:val="22"/>
          <w:szCs w:val="22"/>
        </w:rPr>
        <w:t xml:space="preserve"> and working capital can be depleted quickly. Young, beginning, and small (YBS) farmers and ranchers often have little equity and are deemed less credit worthy. </w:t>
      </w:r>
    </w:p>
    <w:p w:rsidRPr="00035293" w:rsidR="000265A4" w:rsidP="00035293" w:rsidRDefault="000265A4" w14:paraId="4C6FECE9" w14:textId="77777777">
      <w:pPr>
        <w:spacing w:line="240" w:lineRule="auto"/>
        <w:ind w:left="0" w:right="29" w:firstLine="0"/>
      </w:pPr>
      <w:r w:rsidRPr="5259D274" w:rsidR="5D23EE35">
        <w:rPr>
          <w:sz w:val="22"/>
          <w:szCs w:val="22"/>
        </w:rPr>
        <w:t xml:space="preserve">The rural housing market also faces unique challenges. Rural properties are often irregular, fewer in number, or mixed use, making it difficult to find comparable sales (“comps”) for residential appraisals as required by Fannie Mae and Freddie Mac. </w:t>
      </w:r>
    </w:p>
    <w:p w:rsidR="5259D274" w:rsidP="5259D274" w:rsidRDefault="5259D274" w14:paraId="62E3AF6C" w14:textId="147CBCCC">
      <w:pPr>
        <w:spacing w:line="240" w:lineRule="auto"/>
        <w:ind w:left="0" w:right="29" w:firstLine="0"/>
        <w:rPr>
          <w:sz w:val="22"/>
          <w:szCs w:val="22"/>
        </w:rPr>
      </w:pPr>
    </w:p>
    <w:p w:rsidRPr="00035293" w:rsidR="000265A4" w:rsidP="5259D274" w:rsidRDefault="000265A4" w14:paraId="7CE07624" w14:textId="70AEC861">
      <w:pPr>
        <w:pStyle w:val="Heading2"/>
        <w:spacing w:line="240" w:lineRule="auto"/>
        <w:ind w:left="0" w:hanging="0"/>
        <w:rPr>
          <w:b w:val="1"/>
          <w:bCs w:val="1"/>
          <w:sz w:val="22"/>
          <w:szCs w:val="22"/>
        </w:rPr>
      </w:pPr>
      <w:r w:rsidRPr="5259D274" w:rsidR="5D23EE35">
        <w:rPr>
          <w:b w:val="1"/>
          <w:bCs w:val="1"/>
          <w:sz w:val="22"/>
          <w:szCs w:val="22"/>
        </w:rPr>
        <w:t xml:space="preserve">Key Talking Points </w:t>
      </w:r>
    </w:p>
    <w:p w:rsidRPr="00035293" w:rsidR="000265A4" w:rsidP="00035293" w:rsidRDefault="000265A4" w14:paraId="4A213891" w14:textId="77777777">
      <w:pPr>
        <w:spacing w:line="240" w:lineRule="auto"/>
        <w:ind w:right="206"/>
        <w:rPr>
          <w:sz w:val="22"/>
          <w:szCs w:val="22"/>
        </w:rPr>
      </w:pPr>
    </w:p>
    <w:p w:rsidRPr="00035293" w:rsidR="000265A4" w:rsidP="00035293" w:rsidRDefault="000265A4" w14:paraId="7783E552" w14:textId="77777777">
      <w:pPr>
        <w:pStyle w:val="BulletPoints"/>
        <w:spacing w:before="0" w:after="0" w:line="240" w:lineRule="auto"/>
        <w:rPr>
          <w:rFonts w:ascii="Arial" w:hAnsi="Arial" w:cs="Arial"/>
          <w:sz w:val="22"/>
          <w:szCs w:val="22"/>
        </w:rPr>
      </w:pPr>
      <w:r w:rsidRPr="00035293">
        <w:rPr>
          <w:rFonts w:ascii="Arial" w:hAnsi="Arial" w:cs="Arial"/>
          <w:sz w:val="22"/>
          <w:szCs w:val="22"/>
        </w:rPr>
        <w:t>Support a new, expanded version of the ACRE Act.</w:t>
      </w:r>
    </w:p>
    <w:p w:rsidRPr="00035293" w:rsidR="000265A4" w:rsidP="00035293" w:rsidRDefault="000265A4" w14:paraId="1A01620B" w14:textId="77777777">
      <w:pPr>
        <w:pStyle w:val="BulletPoints"/>
        <w:spacing w:before="0" w:after="0" w:line="240" w:lineRule="auto"/>
        <w:rPr>
          <w:rFonts w:ascii="Arial" w:hAnsi="Arial" w:cs="Arial"/>
          <w:sz w:val="22"/>
          <w:szCs w:val="22"/>
        </w:rPr>
      </w:pPr>
      <w:r w:rsidRPr="642F8CC8" w:rsidR="000265A4">
        <w:rPr>
          <w:rFonts w:ascii="Arial" w:hAnsi="Arial" w:cs="Arial"/>
          <w:sz w:val="22"/>
          <w:szCs w:val="22"/>
        </w:rPr>
        <w:t xml:space="preserve">Community banks are already using Section 139L (ACRE) to reduce interest rates for struggling farmers and ranchers. </w:t>
      </w:r>
      <w:bookmarkStart w:name="_Int_1hQyYbM8" w:id="1462002540"/>
      <w:r w:rsidRPr="642F8CC8" w:rsidR="000265A4">
        <w:rPr>
          <w:rFonts w:ascii="Arial" w:hAnsi="Arial" w:cs="Arial"/>
          <w:sz w:val="22"/>
          <w:szCs w:val="22"/>
        </w:rPr>
        <w:t>A new version</w:t>
      </w:r>
      <w:bookmarkEnd w:id="1462002540"/>
      <w:r w:rsidRPr="642F8CC8" w:rsidR="000265A4">
        <w:rPr>
          <w:rFonts w:ascii="Arial" w:hAnsi="Arial" w:cs="Arial"/>
          <w:sz w:val="22"/>
          <w:szCs w:val="22"/>
        </w:rPr>
        <w:t xml:space="preserve"> of ACRE would provide much needed and greater interest rate relief for these borrowers. </w:t>
      </w:r>
    </w:p>
    <w:p w:rsidRPr="00035293" w:rsidR="000265A4" w:rsidP="00035293" w:rsidRDefault="000265A4" w14:paraId="421AFF29" w14:textId="77777777">
      <w:pPr>
        <w:pStyle w:val="BulletPoints"/>
        <w:spacing w:before="0" w:after="0" w:line="240" w:lineRule="auto"/>
        <w:rPr>
          <w:rFonts w:ascii="Arial" w:hAnsi="Arial" w:cs="Arial"/>
          <w:sz w:val="22"/>
          <w:szCs w:val="22"/>
        </w:rPr>
      </w:pPr>
      <w:r w:rsidRPr="00035293">
        <w:rPr>
          <w:rFonts w:ascii="Arial" w:hAnsi="Arial" w:cs="Arial"/>
          <w:sz w:val="22"/>
          <w:szCs w:val="22"/>
        </w:rPr>
        <w:t>ACRE offers community banks greater flexibility to work with farmers and ranchers who may have trouble servicing their debt or are YBS borrowers with little equity.</w:t>
      </w:r>
    </w:p>
    <w:p w:rsidRPr="000265A4" w:rsidR="007F4FF7" w:rsidP="5259D274" w:rsidRDefault="007F4FF7" w14:paraId="5277AB23" w14:textId="6C36BE3D">
      <w:pPr>
        <w:pStyle w:val="BulletPoints"/>
        <w:spacing w:before="0" w:after="0" w:line="240" w:lineRule="auto"/>
        <w:rPr>
          <w:rFonts w:ascii="Arial" w:hAnsi="Arial" w:cs="Arial"/>
          <w:sz w:val="22"/>
          <w:szCs w:val="22"/>
        </w:rPr>
      </w:pPr>
      <w:r w:rsidRPr="5259D274" w:rsidR="5D23EE35">
        <w:rPr>
          <w:rFonts w:ascii="Arial" w:hAnsi="Arial" w:cs="Arial"/>
          <w:sz w:val="22"/>
          <w:szCs w:val="22"/>
        </w:rPr>
        <w:t>ACRE gives lenders a strong incentive to remain in the rural farming and housing markets, thereby boosting local economic activity and access to credit.</w:t>
      </w:r>
    </w:p>
    <w:sectPr w:rsidRPr="000265A4" w:rsidR="007F4FF7" w:rsidSect="003D38FD">
      <w:headerReference w:type="even" r:id="rId11"/>
      <w:headerReference w:type="default" r:id="rId12"/>
      <w:footerReference w:type="even" r:id="rId13"/>
      <w:footerReference w:type="default" r:id="rId14"/>
      <w:headerReference w:type="first" r:id="rId15"/>
      <w:footerReference w:type="first" r:id="rId16"/>
      <w:type w:val="continuous"/>
      <w:pgSz w:w="12240" w:h="15840" w:orient="portrait"/>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259F" w:rsidP="00F04057" w:rsidRDefault="00BE259F" w14:paraId="33A10E41" w14:textId="77777777">
      <w:r>
        <w:separator/>
      </w:r>
    </w:p>
    <w:p w:rsidR="00BE259F" w:rsidRDefault="00BE259F" w14:paraId="44ACA19D" w14:textId="77777777"/>
  </w:endnote>
  <w:endnote w:type="continuationSeparator" w:id="0">
    <w:p w:rsidR="00BE259F" w:rsidP="00F04057" w:rsidRDefault="00BE259F" w14:paraId="5B8E063A" w14:textId="77777777">
      <w:r>
        <w:continuationSeparator/>
      </w:r>
    </w:p>
    <w:p w:rsidR="00BE259F" w:rsidRDefault="00BE259F" w14:paraId="7291BE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ausiteClassic-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259F" w:rsidP="00F04057" w:rsidRDefault="00BE259F" w14:paraId="10997530" w14:textId="77777777">
      <w:r>
        <w:separator/>
      </w:r>
    </w:p>
    <w:p w:rsidR="00BE259F" w:rsidRDefault="00BE259F" w14:paraId="6A317E0A" w14:textId="77777777"/>
  </w:footnote>
  <w:footnote w:type="continuationSeparator" w:id="0">
    <w:p w:rsidR="00BE259F" w:rsidP="00F04057" w:rsidRDefault="00BE259F" w14:paraId="7F028464" w14:textId="77777777">
      <w:r>
        <w:continuationSeparator/>
      </w:r>
    </w:p>
    <w:p w:rsidR="00BE259F" w:rsidRDefault="00BE259F" w14:paraId="1E9DEA7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QAojSOO1" int2:invalidationBookmarkName="" int2:hashCode="Yd5+LwWMmj7QOf" int2:id="PSm6YeWF">
      <int2:state int2:type="style" int2:value="Rejected"/>
    </int2:bookmark>
    <int2:bookmark int2:bookmarkName="_Int_1hQyYbM8" int2:invalidationBookmarkName="" int2:hashCode="u1qHAEtIyfhx7q" int2:id="LaMnVOjo">
      <int2:state int2:type="style" int2:value="Rejected"/>
    </int2:bookmark>
    <int2:bookmark int2:bookmarkName="_Int_8fVfQ1U2" int2:invalidationBookmarkName="" int2:hashCode="bKD6JnTNxYrwjB" int2:id="3dGv1lls">
      <int2:state int2:type="gram" int2:value="Rejected"/>
    </int2:bookmark>
    <int2:bookmark int2:bookmarkName="_Int_cq3ybd8q" int2:invalidationBookmarkName="" int2:hashCode="upqtE8rbQkAxWT" int2:id="Wgy9very">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2BC5"/>
    <w:multiLevelType w:val="hybridMultilevel"/>
    <w:tmpl w:val="CCB007F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 w15:restartNumberingAfterBreak="0">
    <w:nsid w:val="081F440E"/>
    <w:multiLevelType w:val="hybridMultilevel"/>
    <w:tmpl w:val="15AE39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8AB2874"/>
    <w:multiLevelType w:val="hybridMultilevel"/>
    <w:tmpl w:val="C10C91A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3" w15:restartNumberingAfterBreak="0">
    <w:nsid w:val="13F6702A"/>
    <w:multiLevelType w:val="hybridMultilevel"/>
    <w:tmpl w:val="997A826E"/>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4" w15:restartNumberingAfterBreak="0">
    <w:nsid w:val="162718EC"/>
    <w:multiLevelType w:val="hybridMultilevel"/>
    <w:tmpl w:val="692C399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5" w15:restartNumberingAfterBreak="0">
    <w:nsid w:val="1699229C"/>
    <w:multiLevelType w:val="hybridMultilevel"/>
    <w:tmpl w:val="E1AAF81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6" w15:restartNumberingAfterBreak="0">
    <w:nsid w:val="188E2A28"/>
    <w:multiLevelType w:val="hybridMultilevel"/>
    <w:tmpl w:val="C9DA4D24"/>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06D11CD"/>
    <w:multiLevelType w:val="hybridMultilevel"/>
    <w:tmpl w:val="643CA69C"/>
    <w:lvl w:ilvl="0" w:tplc="04090001">
      <w:start w:val="1"/>
      <w:numFmt w:val="bullet"/>
      <w:lvlText w:val=""/>
      <w:lvlJc w:val="left"/>
      <w:pPr>
        <w:ind w:left="360" w:hanging="360"/>
      </w:pPr>
      <w:rPr>
        <w:rFonts w:hint="default" w:ascii="Symbol" w:hAnsi="Symbol"/>
      </w:rPr>
    </w:lvl>
    <w:lvl w:ilvl="1" w:tplc="50DED138">
      <w:numFmt w:val="bullet"/>
      <w:lvlText w:val="•"/>
      <w:lvlJc w:val="left"/>
      <w:pPr>
        <w:ind w:left="1080" w:hanging="360"/>
      </w:pPr>
      <w:rPr>
        <w:rFonts w:hint="default" w:ascii="BeausiteClassic-Light" w:hAnsi="BeausiteClassic-Light" w:cs="BeausiteClassic-Light" w:eastAsiaTheme="minorHAnsi"/>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0" w15:restartNumberingAfterBreak="0">
    <w:nsid w:val="35DA3A38"/>
    <w:multiLevelType w:val="hybridMultilevel"/>
    <w:tmpl w:val="7C94D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E3D72CC"/>
    <w:multiLevelType w:val="hybridMultilevel"/>
    <w:tmpl w:val="4FCCB8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3EF21D8E"/>
    <w:multiLevelType w:val="hybridMultilevel"/>
    <w:tmpl w:val="98F0B410"/>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3" w15:restartNumberingAfterBreak="0">
    <w:nsid w:val="41813B19"/>
    <w:multiLevelType w:val="hybridMultilevel"/>
    <w:tmpl w:val="EA2C186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4" w15:restartNumberingAfterBreak="0">
    <w:nsid w:val="41E36B17"/>
    <w:multiLevelType w:val="hybridMultilevel"/>
    <w:tmpl w:val="3E548EF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48B7651F"/>
    <w:multiLevelType w:val="hybridMultilevel"/>
    <w:tmpl w:val="49F4973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6" w15:restartNumberingAfterBreak="0">
    <w:nsid w:val="4A972592"/>
    <w:multiLevelType w:val="hybridMultilevel"/>
    <w:tmpl w:val="2976F344"/>
    <w:lvl w:ilvl="0" w:tplc="734A37E0">
      <w:start w:val="1"/>
      <w:numFmt w:val="bullet"/>
      <w:lvlText w:val="·"/>
      <w:lvlJc w:val="left"/>
      <w:pPr>
        <w:ind w:left="720" w:hanging="360"/>
      </w:pPr>
      <w:rPr>
        <w:rFonts w:hint="default" w:ascii="Symbol" w:hAnsi="Symbol"/>
      </w:rPr>
    </w:lvl>
    <w:lvl w:ilvl="1" w:tplc="0EAAD364">
      <w:start w:val="1"/>
      <w:numFmt w:val="bullet"/>
      <w:lvlText w:val="o"/>
      <w:lvlJc w:val="left"/>
      <w:pPr>
        <w:ind w:left="1440" w:hanging="360"/>
      </w:pPr>
      <w:rPr>
        <w:rFonts w:hint="default" w:ascii="Courier New" w:hAnsi="Courier New" w:cs="Times New Roman"/>
      </w:rPr>
    </w:lvl>
    <w:lvl w:ilvl="2" w:tplc="4E94F782">
      <w:start w:val="1"/>
      <w:numFmt w:val="bullet"/>
      <w:lvlText w:val=""/>
      <w:lvlJc w:val="left"/>
      <w:pPr>
        <w:ind w:left="2160" w:hanging="360"/>
      </w:pPr>
      <w:rPr>
        <w:rFonts w:hint="default" w:ascii="Wingdings" w:hAnsi="Wingdings"/>
      </w:rPr>
    </w:lvl>
    <w:lvl w:ilvl="3" w:tplc="F684C78A">
      <w:start w:val="1"/>
      <w:numFmt w:val="bullet"/>
      <w:lvlText w:val=""/>
      <w:lvlJc w:val="left"/>
      <w:pPr>
        <w:ind w:left="2880" w:hanging="360"/>
      </w:pPr>
      <w:rPr>
        <w:rFonts w:hint="default" w:ascii="Symbol" w:hAnsi="Symbol"/>
      </w:rPr>
    </w:lvl>
    <w:lvl w:ilvl="4" w:tplc="9BCED16C">
      <w:start w:val="1"/>
      <w:numFmt w:val="bullet"/>
      <w:lvlText w:val="o"/>
      <w:lvlJc w:val="left"/>
      <w:pPr>
        <w:ind w:left="3600" w:hanging="360"/>
      </w:pPr>
      <w:rPr>
        <w:rFonts w:hint="default" w:ascii="Courier New" w:hAnsi="Courier New" w:cs="Times New Roman"/>
      </w:rPr>
    </w:lvl>
    <w:lvl w:ilvl="5" w:tplc="9E8284B6">
      <w:start w:val="1"/>
      <w:numFmt w:val="bullet"/>
      <w:lvlText w:val=""/>
      <w:lvlJc w:val="left"/>
      <w:pPr>
        <w:ind w:left="4320" w:hanging="360"/>
      </w:pPr>
      <w:rPr>
        <w:rFonts w:hint="default" w:ascii="Wingdings" w:hAnsi="Wingdings"/>
      </w:rPr>
    </w:lvl>
    <w:lvl w:ilvl="6" w:tplc="DF488F90">
      <w:start w:val="1"/>
      <w:numFmt w:val="bullet"/>
      <w:lvlText w:val=""/>
      <w:lvlJc w:val="left"/>
      <w:pPr>
        <w:ind w:left="5040" w:hanging="360"/>
      </w:pPr>
      <w:rPr>
        <w:rFonts w:hint="default" w:ascii="Symbol" w:hAnsi="Symbol"/>
      </w:rPr>
    </w:lvl>
    <w:lvl w:ilvl="7" w:tplc="1A06B50A">
      <w:start w:val="1"/>
      <w:numFmt w:val="bullet"/>
      <w:lvlText w:val="o"/>
      <w:lvlJc w:val="left"/>
      <w:pPr>
        <w:ind w:left="5760" w:hanging="360"/>
      </w:pPr>
      <w:rPr>
        <w:rFonts w:hint="default" w:ascii="Courier New" w:hAnsi="Courier New" w:cs="Times New Roman"/>
      </w:rPr>
    </w:lvl>
    <w:lvl w:ilvl="8" w:tplc="B386AE6A">
      <w:start w:val="1"/>
      <w:numFmt w:val="bullet"/>
      <w:lvlText w:val=""/>
      <w:lvlJc w:val="left"/>
      <w:pPr>
        <w:ind w:left="6480" w:hanging="360"/>
      </w:pPr>
      <w:rPr>
        <w:rFonts w:hint="default" w:ascii="Wingdings" w:hAnsi="Wingdings"/>
      </w:rPr>
    </w:lvl>
  </w:abstractNum>
  <w:abstractNum w:abstractNumId="17" w15:restartNumberingAfterBreak="0">
    <w:nsid w:val="4DB5608C"/>
    <w:multiLevelType w:val="hybridMultilevel"/>
    <w:tmpl w:val="2D8240C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8" w15:restartNumberingAfterBreak="0">
    <w:nsid w:val="561A65CF"/>
    <w:multiLevelType w:val="hybridMultilevel"/>
    <w:tmpl w:val="F0BE73A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9" w15:restartNumberingAfterBreak="0">
    <w:nsid w:val="5A023B1B"/>
    <w:multiLevelType w:val="hybridMultilevel"/>
    <w:tmpl w:val="E78206E0"/>
    <w:lvl w:ilvl="0" w:tplc="3142FBBE">
      <w:start w:val="1"/>
      <w:numFmt w:val="bullet"/>
      <w:pStyle w:val="BulletPoints"/>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abstractNum w:abstractNumId="21" w15:restartNumberingAfterBreak="0">
    <w:nsid w:val="5EA11547"/>
    <w:multiLevelType w:val="multilevel"/>
    <w:tmpl w:val="2AC650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22" w15:restartNumberingAfterBreak="0">
    <w:nsid w:val="5F1C2335"/>
    <w:multiLevelType w:val="hybridMultilevel"/>
    <w:tmpl w:val="A0824378"/>
    <w:lvl w:ilvl="0" w:tplc="C9F086F2">
      <w:start w:val="1"/>
      <w:numFmt w:val="bullet"/>
      <w:lvlText w:val="·"/>
      <w:lvlJc w:val="left"/>
      <w:pPr>
        <w:ind w:left="720" w:hanging="360"/>
      </w:pPr>
      <w:rPr>
        <w:rFonts w:hint="default" w:ascii="Symbol" w:hAnsi="Symbol"/>
      </w:rPr>
    </w:lvl>
    <w:lvl w:ilvl="1" w:tplc="8B7A4962">
      <w:start w:val="1"/>
      <w:numFmt w:val="bullet"/>
      <w:lvlText w:val="o"/>
      <w:lvlJc w:val="left"/>
      <w:pPr>
        <w:ind w:left="1440" w:hanging="360"/>
      </w:pPr>
      <w:rPr>
        <w:rFonts w:hint="default" w:ascii="Courier New" w:hAnsi="Courier New" w:cs="Times New Roman"/>
      </w:rPr>
    </w:lvl>
    <w:lvl w:ilvl="2" w:tplc="880E1EC2">
      <w:start w:val="1"/>
      <w:numFmt w:val="bullet"/>
      <w:lvlText w:val=""/>
      <w:lvlJc w:val="left"/>
      <w:pPr>
        <w:ind w:left="2160" w:hanging="360"/>
      </w:pPr>
      <w:rPr>
        <w:rFonts w:hint="default" w:ascii="Wingdings" w:hAnsi="Wingdings"/>
      </w:rPr>
    </w:lvl>
    <w:lvl w:ilvl="3" w:tplc="5C1C2642">
      <w:start w:val="1"/>
      <w:numFmt w:val="bullet"/>
      <w:lvlText w:val=""/>
      <w:lvlJc w:val="left"/>
      <w:pPr>
        <w:ind w:left="2880" w:hanging="360"/>
      </w:pPr>
      <w:rPr>
        <w:rFonts w:hint="default" w:ascii="Symbol" w:hAnsi="Symbol"/>
      </w:rPr>
    </w:lvl>
    <w:lvl w:ilvl="4" w:tplc="FE8A8B1A">
      <w:start w:val="1"/>
      <w:numFmt w:val="bullet"/>
      <w:lvlText w:val="o"/>
      <w:lvlJc w:val="left"/>
      <w:pPr>
        <w:ind w:left="3600" w:hanging="360"/>
      </w:pPr>
      <w:rPr>
        <w:rFonts w:hint="default" w:ascii="Courier New" w:hAnsi="Courier New" w:cs="Times New Roman"/>
      </w:rPr>
    </w:lvl>
    <w:lvl w:ilvl="5" w:tplc="C670609C">
      <w:start w:val="1"/>
      <w:numFmt w:val="bullet"/>
      <w:lvlText w:val=""/>
      <w:lvlJc w:val="left"/>
      <w:pPr>
        <w:ind w:left="4320" w:hanging="360"/>
      </w:pPr>
      <w:rPr>
        <w:rFonts w:hint="default" w:ascii="Wingdings" w:hAnsi="Wingdings"/>
      </w:rPr>
    </w:lvl>
    <w:lvl w:ilvl="6" w:tplc="DF8A33FC">
      <w:start w:val="1"/>
      <w:numFmt w:val="bullet"/>
      <w:lvlText w:val=""/>
      <w:lvlJc w:val="left"/>
      <w:pPr>
        <w:ind w:left="5040" w:hanging="360"/>
      </w:pPr>
      <w:rPr>
        <w:rFonts w:hint="default" w:ascii="Symbol" w:hAnsi="Symbol"/>
      </w:rPr>
    </w:lvl>
    <w:lvl w:ilvl="7" w:tplc="D05CDD84">
      <w:start w:val="1"/>
      <w:numFmt w:val="bullet"/>
      <w:lvlText w:val="o"/>
      <w:lvlJc w:val="left"/>
      <w:pPr>
        <w:ind w:left="5760" w:hanging="360"/>
      </w:pPr>
      <w:rPr>
        <w:rFonts w:hint="default" w:ascii="Courier New" w:hAnsi="Courier New" w:cs="Times New Roman"/>
      </w:rPr>
    </w:lvl>
    <w:lvl w:ilvl="8" w:tplc="95EC1C96">
      <w:start w:val="1"/>
      <w:numFmt w:val="bullet"/>
      <w:lvlText w:val=""/>
      <w:lvlJc w:val="left"/>
      <w:pPr>
        <w:ind w:left="6480" w:hanging="360"/>
      </w:pPr>
      <w:rPr>
        <w:rFonts w:hint="default" w:ascii="Wingdings" w:hAnsi="Wingdings"/>
      </w:rPr>
    </w:lvl>
  </w:abstractNum>
  <w:abstractNum w:abstractNumId="23" w15:restartNumberingAfterBreak="0">
    <w:nsid w:val="6B5B5676"/>
    <w:multiLevelType w:val="hybridMultilevel"/>
    <w:tmpl w:val="20FA8AC4"/>
    <w:lvl w:ilvl="0" w:tplc="330EE62A">
      <w:start w:val="1"/>
      <w:numFmt w:val="bullet"/>
      <w:lvlText w:val="•"/>
      <w:lvlJc w:val="left"/>
      <w:pPr>
        <w:ind w:left="44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1" w:tplc="986E2322">
      <w:start w:val="1"/>
      <w:numFmt w:val="bullet"/>
      <w:lvlText w:val="o"/>
      <w:lvlJc w:val="left"/>
      <w:pPr>
        <w:ind w:left="117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2" w:tplc="3E56C0E6">
      <w:start w:val="1"/>
      <w:numFmt w:val="bullet"/>
      <w:lvlText w:val="▪"/>
      <w:lvlJc w:val="left"/>
      <w:pPr>
        <w:ind w:left="189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3" w:tplc="BB38D3B6">
      <w:start w:val="1"/>
      <w:numFmt w:val="bullet"/>
      <w:lvlText w:val="•"/>
      <w:lvlJc w:val="left"/>
      <w:pPr>
        <w:ind w:left="261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4" w:tplc="7A56D242">
      <w:start w:val="1"/>
      <w:numFmt w:val="bullet"/>
      <w:lvlText w:val="o"/>
      <w:lvlJc w:val="left"/>
      <w:pPr>
        <w:ind w:left="333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5" w:tplc="CB8EAFA8">
      <w:start w:val="1"/>
      <w:numFmt w:val="bullet"/>
      <w:lvlText w:val="▪"/>
      <w:lvlJc w:val="left"/>
      <w:pPr>
        <w:ind w:left="405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6" w:tplc="7062C4EE">
      <w:start w:val="1"/>
      <w:numFmt w:val="bullet"/>
      <w:lvlText w:val="•"/>
      <w:lvlJc w:val="left"/>
      <w:pPr>
        <w:ind w:left="477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7" w:tplc="785848FC">
      <w:start w:val="1"/>
      <w:numFmt w:val="bullet"/>
      <w:lvlText w:val="o"/>
      <w:lvlJc w:val="left"/>
      <w:pPr>
        <w:ind w:left="549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lvl w:ilvl="8" w:tplc="3F9A496C">
      <w:start w:val="1"/>
      <w:numFmt w:val="bullet"/>
      <w:lvlText w:val="▪"/>
      <w:lvlJc w:val="left"/>
      <w:pPr>
        <w:ind w:left="6219" w:firstLine="0"/>
      </w:pPr>
      <w:rPr>
        <w:rFonts w:ascii="Cambria Math" w:hAnsi="Cambria Math" w:eastAsia="Cambria Math" w:cs="Cambria Math"/>
        <w:b w:val="0"/>
        <w:i w:val="0"/>
        <w:strike w:val="0"/>
        <w:dstrike w:val="0"/>
        <w:color w:val="0D0D0D"/>
        <w:sz w:val="22"/>
        <w:szCs w:val="22"/>
        <w:u w:val="none" w:color="000000"/>
        <w:effect w:val="none"/>
        <w:bdr w:val="none" w:color="auto" w:sz="0" w:space="0" w:frame="1"/>
        <w:vertAlign w:val="baseline"/>
      </w:rPr>
    </w:lvl>
  </w:abstractNum>
  <w:abstractNum w:abstractNumId="24" w15:restartNumberingAfterBreak="0">
    <w:nsid w:val="6C6B2181"/>
    <w:multiLevelType w:val="hybridMultilevel"/>
    <w:tmpl w:val="32D4684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25" w15:restartNumberingAfterBreak="0">
    <w:nsid w:val="72377CBB"/>
    <w:multiLevelType w:val="hybridMultilevel"/>
    <w:tmpl w:val="680C075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26" w15:restartNumberingAfterBreak="0">
    <w:nsid w:val="79DA7711"/>
    <w:multiLevelType w:val="hybridMultilevel"/>
    <w:tmpl w:val="28B87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7BE977EA"/>
    <w:multiLevelType w:val="hybridMultilevel"/>
    <w:tmpl w:val="ED7AFF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181167481">
    <w:abstractNumId w:val="7"/>
  </w:num>
  <w:num w:numId="2" w16cid:durableId="713506399">
    <w:abstractNumId w:val="8"/>
  </w:num>
  <w:num w:numId="3" w16cid:durableId="1403410460">
    <w:abstractNumId w:val="19"/>
  </w:num>
  <w:num w:numId="4" w16cid:durableId="152524711">
    <w:abstractNumId w:val="20"/>
  </w:num>
  <w:num w:numId="5" w16cid:durableId="1587572164">
    <w:abstractNumId w:val="11"/>
  </w:num>
  <w:num w:numId="6" w16cid:durableId="145780080">
    <w:abstractNumId w:val="14"/>
  </w:num>
  <w:num w:numId="7" w16cid:durableId="1215894561">
    <w:abstractNumId w:val="27"/>
  </w:num>
  <w:num w:numId="8" w16cid:durableId="1059085501">
    <w:abstractNumId w:val="26"/>
  </w:num>
  <w:num w:numId="9" w16cid:durableId="314993211">
    <w:abstractNumId w:val="16"/>
  </w:num>
  <w:num w:numId="10" w16cid:durableId="1314483196">
    <w:abstractNumId w:val="22"/>
  </w:num>
  <w:num w:numId="11" w16cid:durableId="184641148">
    <w:abstractNumId w:val="21"/>
  </w:num>
  <w:num w:numId="12" w16cid:durableId="1933393659">
    <w:abstractNumId w:val="4"/>
  </w:num>
  <w:num w:numId="13" w16cid:durableId="1311523809">
    <w:abstractNumId w:val="4"/>
  </w:num>
  <w:num w:numId="14" w16cid:durableId="1085150056">
    <w:abstractNumId w:val="10"/>
  </w:num>
  <w:num w:numId="15" w16cid:durableId="1179463276">
    <w:abstractNumId w:val="12"/>
  </w:num>
  <w:num w:numId="16" w16cid:durableId="50422841">
    <w:abstractNumId w:val="6"/>
  </w:num>
  <w:num w:numId="17" w16cid:durableId="847914014">
    <w:abstractNumId w:val="1"/>
  </w:num>
  <w:num w:numId="18" w16cid:durableId="1484815946">
    <w:abstractNumId w:val="0"/>
  </w:num>
  <w:num w:numId="19" w16cid:durableId="795954899">
    <w:abstractNumId w:val="0"/>
  </w:num>
  <w:num w:numId="20" w16cid:durableId="1061751792">
    <w:abstractNumId w:val="11"/>
  </w:num>
  <w:num w:numId="21" w16cid:durableId="277489782">
    <w:abstractNumId w:val="9"/>
  </w:num>
  <w:num w:numId="22" w16cid:durableId="870999843">
    <w:abstractNumId w:val="3"/>
  </w:num>
  <w:num w:numId="23" w16cid:durableId="1317611133">
    <w:abstractNumId w:val="13"/>
  </w:num>
  <w:num w:numId="24" w16cid:durableId="518398721">
    <w:abstractNumId w:val="2"/>
  </w:num>
  <w:num w:numId="25" w16cid:durableId="110319028">
    <w:abstractNumId w:val="5"/>
  </w:num>
  <w:num w:numId="26" w16cid:durableId="3745268">
    <w:abstractNumId w:val="15"/>
  </w:num>
  <w:num w:numId="27" w16cid:durableId="1047218895">
    <w:abstractNumId w:val="17"/>
  </w:num>
  <w:num w:numId="28" w16cid:durableId="469710558">
    <w:abstractNumId w:val="18"/>
  </w:num>
  <w:num w:numId="29" w16cid:durableId="465706059">
    <w:abstractNumId w:val="25"/>
  </w:num>
  <w:num w:numId="30" w16cid:durableId="1950621658">
    <w:abstractNumId w:val="24"/>
  </w:num>
  <w:num w:numId="31" w16cid:durableId="21257345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13A21"/>
    <w:rsid w:val="000265A4"/>
    <w:rsid w:val="00035293"/>
    <w:rsid w:val="00043E1F"/>
    <w:rsid w:val="00073156"/>
    <w:rsid w:val="0008171B"/>
    <w:rsid w:val="000854E6"/>
    <w:rsid w:val="000A5DA4"/>
    <w:rsid w:val="000B05A9"/>
    <w:rsid w:val="000D1FBB"/>
    <w:rsid w:val="000E7519"/>
    <w:rsid w:val="000F0216"/>
    <w:rsid w:val="000F6333"/>
    <w:rsid w:val="00102714"/>
    <w:rsid w:val="00105CE1"/>
    <w:rsid w:val="00115FA5"/>
    <w:rsid w:val="00121BD7"/>
    <w:rsid w:val="00121E16"/>
    <w:rsid w:val="00135686"/>
    <w:rsid w:val="00137765"/>
    <w:rsid w:val="00145BC9"/>
    <w:rsid w:val="00156C6C"/>
    <w:rsid w:val="0016765E"/>
    <w:rsid w:val="001705D2"/>
    <w:rsid w:val="001B19B3"/>
    <w:rsid w:val="001B24BF"/>
    <w:rsid w:val="001D62EB"/>
    <w:rsid w:val="001E1D8D"/>
    <w:rsid w:val="001E5057"/>
    <w:rsid w:val="001F34CA"/>
    <w:rsid w:val="0020058A"/>
    <w:rsid w:val="00222561"/>
    <w:rsid w:val="002273ED"/>
    <w:rsid w:val="00227AE6"/>
    <w:rsid w:val="00244E6D"/>
    <w:rsid w:val="002471E6"/>
    <w:rsid w:val="00253433"/>
    <w:rsid w:val="00254DBF"/>
    <w:rsid w:val="002B27C3"/>
    <w:rsid w:val="002B6F48"/>
    <w:rsid w:val="002D0110"/>
    <w:rsid w:val="003064F3"/>
    <w:rsid w:val="00310DC5"/>
    <w:rsid w:val="00317F0F"/>
    <w:rsid w:val="00326FCE"/>
    <w:rsid w:val="00351CA4"/>
    <w:rsid w:val="00360232"/>
    <w:rsid w:val="00373FEE"/>
    <w:rsid w:val="00392F87"/>
    <w:rsid w:val="003A6CE4"/>
    <w:rsid w:val="003C2C3E"/>
    <w:rsid w:val="003C3476"/>
    <w:rsid w:val="003D38FD"/>
    <w:rsid w:val="00401D96"/>
    <w:rsid w:val="00410CC4"/>
    <w:rsid w:val="004207CB"/>
    <w:rsid w:val="00423C3C"/>
    <w:rsid w:val="004303FB"/>
    <w:rsid w:val="004658B7"/>
    <w:rsid w:val="00467712"/>
    <w:rsid w:val="004711B7"/>
    <w:rsid w:val="00476D41"/>
    <w:rsid w:val="00480B1B"/>
    <w:rsid w:val="00481CC6"/>
    <w:rsid w:val="00485989"/>
    <w:rsid w:val="00492EEB"/>
    <w:rsid w:val="00496577"/>
    <w:rsid w:val="004B4862"/>
    <w:rsid w:val="004C16DE"/>
    <w:rsid w:val="004D2D8B"/>
    <w:rsid w:val="004E5EA1"/>
    <w:rsid w:val="004F50F7"/>
    <w:rsid w:val="00501B38"/>
    <w:rsid w:val="00514325"/>
    <w:rsid w:val="00520BC4"/>
    <w:rsid w:val="00527024"/>
    <w:rsid w:val="005307E1"/>
    <w:rsid w:val="0053302C"/>
    <w:rsid w:val="00546CAE"/>
    <w:rsid w:val="00555D6B"/>
    <w:rsid w:val="00556FC9"/>
    <w:rsid w:val="00563863"/>
    <w:rsid w:val="00564AC3"/>
    <w:rsid w:val="00574B37"/>
    <w:rsid w:val="00585B22"/>
    <w:rsid w:val="005A5317"/>
    <w:rsid w:val="005C391A"/>
    <w:rsid w:val="005C4356"/>
    <w:rsid w:val="005D17CC"/>
    <w:rsid w:val="005D4667"/>
    <w:rsid w:val="005E0150"/>
    <w:rsid w:val="00604BDC"/>
    <w:rsid w:val="0060526F"/>
    <w:rsid w:val="00606AA7"/>
    <w:rsid w:val="006118ED"/>
    <w:rsid w:val="00614F75"/>
    <w:rsid w:val="00617614"/>
    <w:rsid w:val="00621D4F"/>
    <w:rsid w:val="0062299A"/>
    <w:rsid w:val="00627249"/>
    <w:rsid w:val="00643A32"/>
    <w:rsid w:val="00654109"/>
    <w:rsid w:val="00655D03"/>
    <w:rsid w:val="00657A60"/>
    <w:rsid w:val="00692401"/>
    <w:rsid w:val="006A3060"/>
    <w:rsid w:val="006B3D2F"/>
    <w:rsid w:val="006C2698"/>
    <w:rsid w:val="007057F6"/>
    <w:rsid w:val="00724E77"/>
    <w:rsid w:val="00745462"/>
    <w:rsid w:val="0074747E"/>
    <w:rsid w:val="00753A68"/>
    <w:rsid w:val="0076336B"/>
    <w:rsid w:val="00784A2D"/>
    <w:rsid w:val="00786F6C"/>
    <w:rsid w:val="00791B60"/>
    <w:rsid w:val="0079721A"/>
    <w:rsid w:val="007A0FCD"/>
    <w:rsid w:val="007A2101"/>
    <w:rsid w:val="007E0C3B"/>
    <w:rsid w:val="007E0F52"/>
    <w:rsid w:val="007F4FF7"/>
    <w:rsid w:val="0080265A"/>
    <w:rsid w:val="008052BD"/>
    <w:rsid w:val="00806E33"/>
    <w:rsid w:val="00815A4F"/>
    <w:rsid w:val="00832206"/>
    <w:rsid w:val="008362F1"/>
    <w:rsid w:val="008417DA"/>
    <w:rsid w:val="008537CA"/>
    <w:rsid w:val="00861085"/>
    <w:rsid w:val="00861B79"/>
    <w:rsid w:val="00881BFB"/>
    <w:rsid w:val="0088412B"/>
    <w:rsid w:val="0088517E"/>
    <w:rsid w:val="008B1724"/>
    <w:rsid w:val="008B34C2"/>
    <w:rsid w:val="008C1D0F"/>
    <w:rsid w:val="008C2410"/>
    <w:rsid w:val="008D5943"/>
    <w:rsid w:val="008E5947"/>
    <w:rsid w:val="00920109"/>
    <w:rsid w:val="0093246C"/>
    <w:rsid w:val="00944278"/>
    <w:rsid w:val="00960C41"/>
    <w:rsid w:val="00974E34"/>
    <w:rsid w:val="00975E07"/>
    <w:rsid w:val="009C21B7"/>
    <w:rsid w:val="00A063DE"/>
    <w:rsid w:val="00A06AD5"/>
    <w:rsid w:val="00A33CCB"/>
    <w:rsid w:val="00A34E86"/>
    <w:rsid w:val="00A36958"/>
    <w:rsid w:val="00A427EE"/>
    <w:rsid w:val="00A44234"/>
    <w:rsid w:val="00A5500A"/>
    <w:rsid w:val="00AC6EFA"/>
    <w:rsid w:val="00AD50D1"/>
    <w:rsid w:val="00B11E0C"/>
    <w:rsid w:val="00B2474A"/>
    <w:rsid w:val="00B31577"/>
    <w:rsid w:val="00B3191C"/>
    <w:rsid w:val="00BA567B"/>
    <w:rsid w:val="00BB6626"/>
    <w:rsid w:val="00BC27E9"/>
    <w:rsid w:val="00BC2C9C"/>
    <w:rsid w:val="00BD570D"/>
    <w:rsid w:val="00BE1BFC"/>
    <w:rsid w:val="00BE259F"/>
    <w:rsid w:val="00BF1844"/>
    <w:rsid w:val="00C0028B"/>
    <w:rsid w:val="00C40CC4"/>
    <w:rsid w:val="00C42A17"/>
    <w:rsid w:val="00C473CC"/>
    <w:rsid w:val="00C50F59"/>
    <w:rsid w:val="00C64A60"/>
    <w:rsid w:val="00C75FE1"/>
    <w:rsid w:val="00C83721"/>
    <w:rsid w:val="00C873CD"/>
    <w:rsid w:val="00C942EA"/>
    <w:rsid w:val="00C966E9"/>
    <w:rsid w:val="00CC0DFB"/>
    <w:rsid w:val="00CD0AA8"/>
    <w:rsid w:val="00CD0CE3"/>
    <w:rsid w:val="00CD305C"/>
    <w:rsid w:val="00CD518B"/>
    <w:rsid w:val="00CD7392"/>
    <w:rsid w:val="00CD7409"/>
    <w:rsid w:val="00CE46A1"/>
    <w:rsid w:val="00D037B8"/>
    <w:rsid w:val="00D4190C"/>
    <w:rsid w:val="00D44F16"/>
    <w:rsid w:val="00D5070F"/>
    <w:rsid w:val="00D56FBB"/>
    <w:rsid w:val="00D743CA"/>
    <w:rsid w:val="00D86978"/>
    <w:rsid w:val="00D87856"/>
    <w:rsid w:val="00E0363F"/>
    <w:rsid w:val="00E102FE"/>
    <w:rsid w:val="00E11FE8"/>
    <w:rsid w:val="00E24DE8"/>
    <w:rsid w:val="00E5655B"/>
    <w:rsid w:val="00E60237"/>
    <w:rsid w:val="00E93070"/>
    <w:rsid w:val="00EA4F4B"/>
    <w:rsid w:val="00EB4800"/>
    <w:rsid w:val="00EC2D15"/>
    <w:rsid w:val="00ED1B1F"/>
    <w:rsid w:val="00EE178A"/>
    <w:rsid w:val="00EE7242"/>
    <w:rsid w:val="00EF2717"/>
    <w:rsid w:val="00F03C8B"/>
    <w:rsid w:val="00F04057"/>
    <w:rsid w:val="00F14AB8"/>
    <w:rsid w:val="00F14FE7"/>
    <w:rsid w:val="00F16679"/>
    <w:rsid w:val="00F4391B"/>
    <w:rsid w:val="00F45082"/>
    <w:rsid w:val="00F539F3"/>
    <w:rsid w:val="00F70ABF"/>
    <w:rsid w:val="00F9379A"/>
    <w:rsid w:val="00F968F5"/>
    <w:rsid w:val="00FA365E"/>
    <w:rsid w:val="00FC7966"/>
    <w:rsid w:val="00FD186B"/>
    <w:rsid w:val="00FD4C94"/>
    <w:rsid w:val="00FE7C44"/>
    <w:rsid w:val="00FF1DF3"/>
    <w:rsid w:val="3470EB63"/>
    <w:rsid w:val="448247DA"/>
    <w:rsid w:val="5259D274"/>
    <w:rsid w:val="5D23EE35"/>
    <w:rsid w:val="642F8CC8"/>
    <w:rsid w:val="6914AC06"/>
    <w:rsid w:val="6C3549FE"/>
    <w:rsid w:val="7102C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0265A4"/>
    <w:pPr>
      <w:keepNext/>
      <w:keepLines/>
      <w:spacing w:after="360"/>
      <w:ind w:left="0" w:right="29" w:firstLine="0"/>
      <w:outlineLvl w:val="0"/>
    </w:pPr>
    <w:rPr>
      <w:rFonts w:ascii="Times New Roman" w:hAnsi="Times New Roman" w:cs="Times New Roman"/>
      <w:b/>
      <w:bCs/>
      <w:color w:val="000000" w:themeColor="text1"/>
      <w:spacing w:val="10"/>
      <w:sz w:val="28"/>
      <w:szCs w:val="28"/>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C64A60"/>
    <w:pPr>
      <w:numPr>
        <w:numId w:val="3"/>
      </w:numPr>
      <w:spacing w:before="240" w:after="240" w:line="280" w:lineRule="exact"/>
      <w:ind w:right="360"/>
      <w:contextualSpacing/>
    </w:pPr>
    <w:rPr>
      <w:rFonts w:ascii="Times New Roman" w:hAnsi="Times New Roman" w:cs="Times New Roman"/>
      <w:sz w:val="24"/>
      <w:szCs w:val="24"/>
    </w:r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link w:val="ListParagraphChar"/>
    <w:uiPriority w:val="34"/>
    <w:qFormat/>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0265A4"/>
    <w:rPr>
      <w:rFonts w:ascii="Times New Roman" w:hAnsi="Times New Roman" w:eastAsia="Arial" w:cs="Times New Roman"/>
      <w:b/>
      <w:bCs/>
      <w:color w:val="000000" w:themeColor="text1"/>
      <w:spacing w:val="10"/>
      <w:kern w:val="2"/>
      <w:sz w:val="28"/>
      <w:szCs w:val="28"/>
      <w14:ligatures w14:val="standardContextual"/>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val="0"/>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character" w:styleId="ListParagraphChar" w:customStyle="1">
    <w:name w:val="List Paragraph Char"/>
    <w:basedOn w:val="DefaultParagraphFont"/>
    <w:link w:val="ListParagraph"/>
    <w:uiPriority w:val="34"/>
    <w:locked/>
    <w:rsid w:val="00A063DE"/>
    <w:rPr>
      <w:rFonts w:eastAsia="Arial" w:cs="Arial"/>
      <w:color w:val="000000"/>
      <w:kern w:val="2"/>
      <w:sz w:val="24"/>
      <w:szCs w:val="24"/>
      <w14:ligatures w14:val="standardContextual"/>
    </w:rPr>
  </w:style>
  <w:style w:type="character" w:styleId="FollowedHyperlink">
    <w:name w:val="FollowedHyperlink"/>
    <w:basedOn w:val="DefaultParagraphFont"/>
    <w:uiPriority w:val="99"/>
    <w:semiHidden/>
    <w:unhideWhenUsed/>
    <w:rsid w:val="00784A2D"/>
    <w:rPr>
      <w:color w:val="800080" w:themeColor="followedHyperlink"/>
      <w:u w:val="single"/>
    </w:rPr>
  </w:style>
  <w:style w:type="paragraph" w:styleId="paragraph" w:customStyle="1">
    <w:name w:val="paragraph"/>
    <w:basedOn w:val="Normal"/>
    <w:rsid w:val="00606AA7"/>
    <w:pPr>
      <w:spacing w:before="100" w:beforeAutospacing="1" w:after="100" w:afterAutospacing="1" w:line="240" w:lineRule="auto"/>
      <w:ind w:left="0" w:right="0" w:firstLine="0"/>
    </w:pPr>
    <w:rPr>
      <w:rFonts w:ascii="Times New Roman" w:hAnsi="Times New Roman" w:eastAsia="Times New Roman" w:cs="Times New Roman"/>
      <w:color w:val="auto"/>
      <w:kern w:val="0"/>
      <w14:ligatures w14:val="none"/>
    </w:rPr>
  </w:style>
  <w:style w:type="character" w:styleId="normaltextrun" w:customStyle="1">
    <w:name w:val="normaltextrun"/>
    <w:basedOn w:val="DefaultParagraphFont"/>
    <w:rsid w:val="00606AA7"/>
  </w:style>
  <w:style w:type="character" w:styleId="eop" w:customStyle="1">
    <w:name w:val="eop"/>
    <w:basedOn w:val="DefaultParagraphFont"/>
    <w:rsid w:val="00F14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20/10/relationships/intelligence" Target="intelligence2.xml" Id="R96f9eb1ca750474f"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2.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3.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4.xml><?xml version="1.0" encoding="utf-8"?>
<ds:datastoreItem xmlns:ds="http://schemas.openxmlformats.org/officeDocument/2006/customXml" ds:itemID="{58810248-CB3D-4C4B-B9C4-DB369EADC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Alan Keller</dc:creator>
  <lastModifiedBy>Carla Taylor-Badawu</lastModifiedBy>
  <revision>5</revision>
  <dcterms:created xsi:type="dcterms:W3CDTF">2026-09-01T16:08:00.0000000Z</dcterms:created>
  <dcterms:modified xsi:type="dcterms:W3CDTF">2026-09-02T14:30:58.5265961Z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