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7446CE84" w:rsidR="00296592" w:rsidRPr="003D49D5" w:rsidRDefault="00C616FE" w:rsidP="003D49D5">
      <w:pPr>
        <w:tabs>
          <w:tab w:val="left" w:pos="540"/>
          <w:tab w:val="left" w:pos="2550"/>
        </w:tabs>
        <w:spacing w:line="360" w:lineRule="auto"/>
        <w:rPr>
          <w:rStyle w:val="ICBAbold"/>
        </w:rPr>
      </w:pPr>
      <w:r>
        <w:rPr>
          <w:rStyle w:val="ICBAbold"/>
        </w:rPr>
        <w:t>Novemb</w:t>
      </w:r>
      <w:r w:rsidR="006E3053">
        <w:rPr>
          <w:rStyle w:val="ICBAbold"/>
        </w:rPr>
        <w:t xml:space="preserve">er </w:t>
      </w:r>
      <w:r w:rsidR="004A1223" w:rsidRPr="003D49D5">
        <w:rPr>
          <w:rStyle w:val="ICBAbold"/>
        </w:rPr>
        <w:t>2022</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10F8E048" w14:textId="77777777" w:rsidR="00987923" w:rsidRPr="003D49D5" w:rsidRDefault="00987923"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6584E9D6" w:rsidR="007A2F87" w:rsidRPr="003D49D5" w:rsidRDefault="009C7D32" w:rsidP="003D49D5">
      <w:pPr>
        <w:tabs>
          <w:tab w:val="left" w:pos="540"/>
        </w:tabs>
        <w:spacing w:line="360" w:lineRule="auto"/>
        <w:rPr>
          <w:rStyle w:val="ICBAbold"/>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BD444F">
        <w:rPr>
          <w:rStyle w:val="ICBAbold"/>
        </w:rPr>
        <w:t>Inversion investing</w:t>
      </w:r>
    </w:p>
    <w:p w14:paraId="24EAFA45" w14:textId="77777777" w:rsidR="009C7D32" w:rsidRPr="003D49D5" w:rsidRDefault="009C7D32" w:rsidP="003D49D5">
      <w:pPr>
        <w:tabs>
          <w:tab w:val="left" w:pos="540"/>
        </w:tabs>
        <w:spacing w:line="360" w:lineRule="auto"/>
        <w:rPr>
          <w:rStyle w:val="ICBAbold"/>
          <w:b w:val="0"/>
        </w:rPr>
      </w:pPr>
    </w:p>
    <w:p w14:paraId="658FE2D6" w14:textId="671AC233" w:rsidR="004C4F00" w:rsidRPr="003D49D5" w:rsidRDefault="009C7D32" w:rsidP="003D49D5">
      <w:pPr>
        <w:tabs>
          <w:tab w:val="left" w:pos="540"/>
        </w:tabs>
        <w:spacing w:line="360" w:lineRule="auto"/>
        <w:rPr>
          <w:rStyle w:val="ICBAbold"/>
          <w:b w:val="0"/>
        </w:rPr>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BD444F">
        <w:rPr>
          <w:rStyle w:val="ICBAbold"/>
          <w:b w:val="0"/>
          <w:color w:val="000000" w:themeColor="text1"/>
        </w:rPr>
        <w:t>Upside-down yield curve offers some possibilities</w:t>
      </w:r>
      <w:r w:rsidR="00903A35">
        <w:rPr>
          <w:rStyle w:val="ICBAbold"/>
          <w:b w:val="0"/>
          <w:color w:val="000000" w:themeColor="text1"/>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 xml:space="preserve">By Jim </w:t>
      </w:r>
      <w:proofErr w:type="spellStart"/>
      <w:r>
        <w:rPr>
          <w:rStyle w:val="ICBAbold"/>
          <w:b w:val="0"/>
        </w:rPr>
        <w:t>Reber</w:t>
      </w:r>
      <w:proofErr w:type="spellEnd"/>
      <w:r>
        <w:rPr>
          <w:rStyle w:val="ICBAbold"/>
          <w:b w:val="0"/>
        </w:rPr>
        <w:t>,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010C9CF5" w:rsidR="009C7D32" w:rsidRDefault="009C7D32" w:rsidP="003D49D5">
      <w:pPr>
        <w:tabs>
          <w:tab w:val="left" w:pos="540"/>
        </w:tabs>
        <w:spacing w:line="360" w:lineRule="auto"/>
        <w:rPr>
          <w:rStyle w:val="ICBAbold"/>
          <w:b w:val="0"/>
          <w:color w:val="FF0000"/>
        </w:rPr>
      </w:pPr>
      <w:r w:rsidRPr="003D49D5">
        <w:rPr>
          <w:rStyle w:val="ICBAbold"/>
          <w:b w:val="0"/>
          <w:color w:val="FF0000"/>
        </w:rPr>
        <w:t>[body]</w:t>
      </w:r>
    </w:p>
    <w:p w14:paraId="2DF175FC" w14:textId="5358678A" w:rsidR="00903A35" w:rsidRDefault="00BD444F" w:rsidP="003D49D5">
      <w:pPr>
        <w:tabs>
          <w:tab w:val="left" w:pos="540"/>
        </w:tabs>
        <w:spacing w:line="360" w:lineRule="auto"/>
        <w:rPr>
          <w:rStyle w:val="ICBAbold"/>
          <w:b w:val="0"/>
        </w:rPr>
      </w:pPr>
      <w:r>
        <w:rPr>
          <w:rStyle w:val="ICBAbold"/>
          <w:b w:val="0"/>
        </w:rPr>
        <w:t>Some rumors are true: There is an historical relationship between the phenomenon known as an inverted yield curve and a subsequent recession. This isn’t any idle talk among Fed</w:t>
      </w:r>
      <w:r w:rsidR="00903A35">
        <w:rPr>
          <w:rStyle w:val="ICBAbold"/>
          <w:b w:val="0"/>
        </w:rPr>
        <w:t xml:space="preserve"> </w:t>
      </w:r>
      <w:r>
        <w:rPr>
          <w:rStyle w:val="ICBAbold"/>
          <w:b w:val="0"/>
        </w:rPr>
        <w:t>watchers and other pundits this time around. Nor is</w:t>
      </w:r>
      <w:r w:rsidR="005D776A">
        <w:rPr>
          <w:rStyle w:val="ICBAbold"/>
          <w:b w:val="0"/>
        </w:rPr>
        <w:t xml:space="preserve"> it peripheral to the management of financial institutions, including community banks. </w:t>
      </w:r>
    </w:p>
    <w:p w14:paraId="5BEE25EA" w14:textId="0188F380" w:rsidR="00BD444F" w:rsidRDefault="005D776A" w:rsidP="003D49D5">
      <w:pPr>
        <w:tabs>
          <w:tab w:val="left" w:pos="540"/>
        </w:tabs>
        <w:spacing w:line="360" w:lineRule="auto"/>
        <w:rPr>
          <w:rStyle w:val="ICBAbold"/>
          <w:b w:val="0"/>
        </w:rPr>
      </w:pPr>
      <w:r>
        <w:rPr>
          <w:rStyle w:val="ICBAbold"/>
          <w:b w:val="0"/>
        </w:rPr>
        <w:t xml:space="preserve">Being the Master of the Obvious, I’ll point out the </w:t>
      </w:r>
      <w:r w:rsidR="00903A35">
        <w:rPr>
          <w:rStyle w:val="ICBAbold"/>
          <w:b w:val="0"/>
        </w:rPr>
        <w:t xml:space="preserve">treasury </w:t>
      </w:r>
      <w:r>
        <w:rPr>
          <w:rStyle w:val="ICBAbold"/>
          <w:b w:val="0"/>
        </w:rPr>
        <w:t xml:space="preserve">yield curve has been inverted since July, often by as much as 40 basis points (0.40%). </w:t>
      </w:r>
      <w:r w:rsidR="00B07668">
        <w:rPr>
          <w:rStyle w:val="ICBAbold"/>
          <w:b w:val="0"/>
        </w:rPr>
        <w:t xml:space="preserve">This presents dilemmas, and opportunities, for bond portfolio managers. </w:t>
      </w:r>
      <w:r w:rsidR="00410960">
        <w:rPr>
          <w:rStyle w:val="ICBAbold"/>
          <w:b w:val="0"/>
        </w:rPr>
        <w:t xml:space="preserve">And for those keeping score, every curve inversion in the past </w:t>
      </w:r>
      <w:r w:rsidR="0042420B">
        <w:rPr>
          <w:rStyle w:val="ICBAbold"/>
          <w:b w:val="0"/>
        </w:rPr>
        <w:t>four</w:t>
      </w:r>
      <w:r w:rsidR="00410960">
        <w:rPr>
          <w:rStyle w:val="ICBAbold"/>
          <w:b w:val="0"/>
        </w:rPr>
        <w:t xml:space="preserve"> </w:t>
      </w:r>
      <w:r w:rsidR="0039715A">
        <w:rPr>
          <w:rStyle w:val="ICBAbold"/>
          <w:b w:val="0"/>
        </w:rPr>
        <w:t>decades</w:t>
      </w:r>
      <w:r w:rsidR="00410960">
        <w:rPr>
          <w:rStyle w:val="ICBAbold"/>
          <w:b w:val="0"/>
        </w:rPr>
        <w:t xml:space="preserve"> has been followed by a recession within a year. </w:t>
      </w:r>
    </w:p>
    <w:p w14:paraId="7BD7BCE5" w14:textId="7DF22B38" w:rsidR="00410960" w:rsidRPr="00BD444F" w:rsidRDefault="00410960" w:rsidP="003D49D5">
      <w:pPr>
        <w:tabs>
          <w:tab w:val="left" w:pos="540"/>
        </w:tabs>
        <w:spacing w:line="360" w:lineRule="auto"/>
        <w:rPr>
          <w:rStyle w:val="ICBAbold"/>
          <w:b w:val="0"/>
        </w:rPr>
      </w:pPr>
      <w:r>
        <w:rPr>
          <w:rStyle w:val="ICBAbold"/>
          <w:b w:val="0"/>
        </w:rPr>
        <w:t xml:space="preserve">It occurs to me that the conversations my associates at Stifel and I have had recently with our customers have followed a pattern, driven by the interest rate cycle. Rates fall, and the curve steepens, and bankers need reminding how to lock in yield and harvest gains. Rates rise, and the curve flattens, and bankers want to know how </w:t>
      </w:r>
      <w:r w:rsidR="001B7A03">
        <w:rPr>
          <w:rStyle w:val="ICBAbold"/>
          <w:b w:val="0"/>
        </w:rPr>
        <w:t>manage</w:t>
      </w:r>
      <w:r>
        <w:rPr>
          <w:rStyle w:val="ICBAbold"/>
          <w:b w:val="0"/>
        </w:rPr>
        <w:t xml:space="preserve"> their unrealized losses. And then, the curve inverts, and it seems that everything we learned</w:t>
      </w:r>
      <w:r w:rsidR="0039715A">
        <w:rPr>
          <w:rStyle w:val="ICBAbold"/>
          <w:b w:val="0"/>
        </w:rPr>
        <w:t xml:space="preserve"> about risk/reward has gone haywire. </w:t>
      </w:r>
      <w:proofErr w:type="gramStart"/>
      <w:r w:rsidR="0039715A">
        <w:rPr>
          <w:rStyle w:val="ICBAbold"/>
          <w:b w:val="0"/>
        </w:rPr>
        <w:t>So</w:t>
      </w:r>
      <w:proofErr w:type="gramEnd"/>
      <w:r w:rsidR="0039715A">
        <w:rPr>
          <w:rStyle w:val="ICBAbold"/>
          <w:b w:val="0"/>
        </w:rPr>
        <w:t xml:space="preserve"> we will devote the rest of this column to discussing why curves invert and where value may appear in the various investment sectors that matter to community banks. </w:t>
      </w:r>
    </w:p>
    <w:p w14:paraId="4A423A03" w14:textId="77777777" w:rsidR="00E33B63" w:rsidRPr="003D49D5" w:rsidRDefault="00E33B63" w:rsidP="003D49D5">
      <w:pPr>
        <w:tabs>
          <w:tab w:val="left" w:pos="540"/>
        </w:tabs>
        <w:spacing w:line="360" w:lineRule="auto"/>
        <w:rPr>
          <w:rStyle w:val="ICBAbold"/>
          <w:b w:val="0"/>
        </w:rPr>
      </w:pPr>
    </w:p>
    <w:p w14:paraId="188BF7EF" w14:textId="7792DAA8" w:rsidR="003653F6"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A04979">
        <w:rPr>
          <w:rStyle w:val="ICBAbold"/>
          <w:bCs/>
          <w:color w:val="FF0000"/>
        </w:rPr>
        <w:t xml:space="preserve"> </w:t>
      </w:r>
      <w:proofErr w:type="gramStart"/>
      <w:r w:rsidR="00410960">
        <w:rPr>
          <w:rStyle w:val="ICBAbold"/>
          <w:bCs/>
        </w:rPr>
        <w:t>The what</w:t>
      </w:r>
      <w:proofErr w:type="gramEnd"/>
      <w:r w:rsidR="00410960">
        <w:rPr>
          <w:rStyle w:val="ICBAbold"/>
          <w:bCs/>
        </w:rPr>
        <w:t xml:space="preserve"> and why of inversions</w:t>
      </w:r>
    </w:p>
    <w:p w14:paraId="57DB5F4F" w14:textId="2477B566" w:rsidR="005D5B4F" w:rsidRDefault="005D5B4F" w:rsidP="003D49D5">
      <w:pPr>
        <w:tabs>
          <w:tab w:val="left" w:pos="540"/>
        </w:tabs>
        <w:spacing w:line="360" w:lineRule="auto"/>
        <w:rPr>
          <w:rStyle w:val="ICBAbold"/>
          <w:b w:val="0"/>
          <w:bCs/>
        </w:rPr>
      </w:pPr>
      <w:r>
        <w:rPr>
          <w:rStyle w:val="ICBAbold"/>
          <w:b w:val="0"/>
          <w:bCs/>
        </w:rPr>
        <w:lastRenderedPageBreak/>
        <w:t>When the Fed determines it’s time to begin raising rates, the most visible tool at its disposal is to increase the effective fed funds rate</w:t>
      </w:r>
      <w:r w:rsidR="00BF4555">
        <w:rPr>
          <w:rStyle w:val="ICBAbold"/>
          <w:b w:val="0"/>
          <w:bCs/>
        </w:rPr>
        <w:t>.</w:t>
      </w:r>
      <w:r>
        <w:rPr>
          <w:rStyle w:val="ICBAbold"/>
          <w:b w:val="0"/>
          <w:bCs/>
        </w:rPr>
        <w:t xml:space="preserve"> Whenever the overnight rate increases, so do other shorter-term yields, which most analysts </w:t>
      </w:r>
      <w:r w:rsidR="00362275">
        <w:rPr>
          <w:rStyle w:val="ICBAbold"/>
          <w:b w:val="0"/>
          <w:bCs/>
        </w:rPr>
        <w:t>take to mean two years and less. Longer-term buyers, which include</w:t>
      </w:r>
      <w:r w:rsidR="0042420B">
        <w:rPr>
          <w:rStyle w:val="ICBAbold"/>
          <w:b w:val="0"/>
          <w:bCs/>
        </w:rPr>
        <w:t>,</w:t>
      </w:r>
      <w:r w:rsidR="00362275">
        <w:rPr>
          <w:rStyle w:val="ICBAbold"/>
          <w:b w:val="0"/>
          <w:bCs/>
        </w:rPr>
        <w:t xml:space="preserve"> but aren’t limited to</w:t>
      </w:r>
      <w:r w:rsidR="0042420B">
        <w:rPr>
          <w:rStyle w:val="ICBAbold"/>
          <w:b w:val="0"/>
          <w:bCs/>
        </w:rPr>
        <w:t>,</w:t>
      </w:r>
      <w:r w:rsidR="00362275">
        <w:rPr>
          <w:rStyle w:val="ICBAbold"/>
          <w:b w:val="0"/>
          <w:bCs/>
        </w:rPr>
        <w:t xml:space="preserve"> depositories, have wholly different investment objectives and risk tolerances. Long investment yields, the proxy for which are ten-year bonds, are more </w:t>
      </w:r>
      <w:r w:rsidR="001A123E">
        <w:rPr>
          <w:rStyle w:val="ICBAbold"/>
          <w:b w:val="0"/>
          <w:bCs/>
        </w:rPr>
        <w:t>affected</w:t>
      </w:r>
      <w:r w:rsidR="00362275">
        <w:rPr>
          <w:rStyle w:val="ICBAbold"/>
          <w:b w:val="0"/>
          <w:bCs/>
        </w:rPr>
        <w:t xml:space="preserve"> by inflation </w:t>
      </w:r>
      <w:r w:rsidR="00903A35">
        <w:rPr>
          <w:rStyle w:val="ICBAbold"/>
          <w:b w:val="0"/>
          <w:bCs/>
        </w:rPr>
        <w:t>&lt;</w:t>
      </w:r>
      <w:proofErr w:type="spellStart"/>
      <w:r w:rsidR="00903A35">
        <w:rPr>
          <w:rStyle w:val="ICBAbold"/>
          <w:b w:val="0"/>
          <w:bCs/>
        </w:rPr>
        <w:t>i</w:t>
      </w:r>
      <w:proofErr w:type="spellEnd"/>
      <w:r w:rsidR="00903A35">
        <w:rPr>
          <w:rStyle w:val="ICBAbold"/>
          <w:b w:val="0"/>
          <w:bCs/>
        </w:rPr>
        <w:t>&gt;</w:t>
      </w:r>
      <w:r w:rsidR="00362275" w:rsidRPr="00362275">
        <w:rPr>
          <w:rStyle w:val="ICBAbold"/>
          <w:b w:val="0"/>
          <w:bCs/>
          <w:i/>
        </w:rPr>
        <w:t>expectations</w:t>
      </w:r>
      <w:r w:rsidR="00903A35">
        <w:rPr>
          <w:rStyle w:val="ICBAbold"/>
          <w:b w:val="0"/>
          <w:bCs/>
          <w:i/>
        </w:rPr>
        <w:t>&lt;</w:t>
      </w:r>
      <w:proofErr w:type="spellStart"/>
      <w:r w:rsidR="00903A35">
        <w:rPr>
          <w:rStyle w:val="ICBAbold"/>
          <w:b w:val="0"/>
          <w:bCs/>
          <w:i/>
        </w:rPr>
        <w:t>i</w:t>
      </w:r>
      <w:proofErr w:type="spellEnd"/>
      <w:r w:rsidR="00903A35">
        <w:rPr>
          <w:rStyle w:val="ICBAbold"/>
          <w:b w:val="0"/>
          <w:bCs/>
          <w:i/>
        </w:rPr>
        <w:t>&gt;</w:t>
      </w:r>
      <w:r w:rsidR="00362275">
        <w:rPr>
          <w:rStyle w:val="ICBAbold"/>
          <w:b w:val="0"/>
          <w:bCs/>
        </w:rPr>
        <w:t>.</w:t>
      </w:r>
    </w:p>
    <w:p w14:paraId="447F0641" w14:textId="61FDBF6C" w:rsidR="00362275" w:rsidRDefault="00362275" w:rsidP="003D49D5">
      <w:pPr>
        <w:tabs>
          <w:tab w:val="left" w:pos="540"/>
        </w:tabs>
        <w:spacing w:line="360" w:lineRule="auto"/>
        <w:rPr>
          <w:rStyle w:val="ICBAbold"/>
          <w:b w:val="0"/>
          <w:bCs/>
        </w:rPr>
      </w:pPr>
      <w:r>
        <w:rPr>
          <w:rStyle w:val="ICBAbold"/>
          <w:b w:val="0"/>
          <w:bCs/>
        </w:rPr>
        <w:t>Every fed fund hike should, in theory at least, give longer buyers some added comfort that inflation will be well</w:t>
      </w:r>
      <w:r w:rsidR="00903A35">
        <w:rPr>
          <w:rStyle w:val="ICBAbold"/>
          <w:b w:val="0"/>
          <w:bCs/>
        </w:rPr>
        <w:t xml:space="preserve"> </w:t>
      </w:r>
      <w:r>
        <w:rPr>
          <w:rStyle w:val="ICBAbold"/>
          <w:b w:val="0"/>
          <w:bCs/>
        </w:rPr>
        <w:t xml:space="preserve">behaved. In a year like 2022, which has seen </w:t>
      </w:r>
      <w:r w:rsidRPr="00362275">
        <w:rPr>
          <w:rStyle w:val="ICBAbold"/>
          <w:b w:val="0"/>
          <w:bCs/>
          <w:color w:val="FF0000"/>
        </w:rPr>
        <w:t>three</w:t>
      </w:r>
      <w:r>
        <w:rPr>
          <w:rStyle w:val="ICBAbold"/>
          <w:b w:val="0"/>
          <w:bCs/>
        </w:rPr>
        <w:t xml:space="preserve"> full percentage points in rate hikes on the short end, we’re almost certain to see the curve flatten, and possibl</w:t>
      </w:r>
      <w:r w:rsidR="006D7224">
        <w:rPr>
          <w:rStyle w:val="ICBAbold"/>
          <w:b w:val="0"/>
          <w:bCs/>
        </w:rPr>
        <w:t>y</w:t>
      </w:r>
      <w:r>
        <w:rPr>
          <w:rStyle w:val="ICBAbold"/>
          <w:b w:val="0"/>
          <w:bCs/>
        </w:rPr>
        <w:t xml:space="preserve"> invert. </w:t>
      </w:r>
      <w:r w:rsidR="006D7224">
        <w:rPr>
          <w:rStyle w:val="ICBAbold"/>
          <w:b w:val="0"/>
          <w:bCs/>
        </w:rPr>
        <w:t xml:space="preserve">As investor sentiment by </w:t>
      </w:r>
      <w:proofErr w:type="gramStart"/>
      <w:r w:rsidR="006D7224">
        <w:rPr>
          <w:rStyle w:val="ICBAbold"/>
          <w:b w:val="0"/>
          <w:bCs/>
        </w:rPr>
        <w:t>a number of</w:t>
      </w:r>
      <w:proofErr w:type="gramEnd"/>
      <w:r w:rsidR="006D7224">
        <w:rPr>
          <w:rStyle w:val="ICBAbold"/>
          <w:b w:val="0"/>
          <w:bCs/>
        </w:rPr>
        <w:t xml:space="preserve"> measures now expects inflation to remain off its peak from earlier this year, the final </w:t>
      </w:r>
      <w:r w:rsidR="00BF4555">
        <w:rPr>
          <w:rStyle w:val="ICBAbold"/>
          <w:b w:val="0"/>
          <w:bCs/>
        </w:rPr>
        <w:t>component</w:t>
      </w:r>
      <w:r w:rsidR="006D7224">
        <w:rPr>
          <w:rStyle w:val="ICBAbold"/>
          <w:b w:val="0"/>
          <w:bCs/>
        </w:rPr>
        <w:t xml:space="preserve"> for a curve inversion has </w:t>
      </w:r>
      <w:r w:rsidR="00BF4555">
        <w:rPr>
          <w:rStyle w:val="ICBAbold"/>
          <w:b w:val="0"/>
          <w:bCs/>
        </w:rPr>
        <w:t>entered</w:t>
      </w:r>
      <w:r w:rsidR="006D7224">
        <w:rPr>
          <w:rStyle w:val="ICBAbold"/>
          <w:b w:val="0"/>
          <w:bCs/>
        </w:rPr>
        <w:t xml:space="preserve"> the mix. </w:t>
      </w:r>
    </w:p>
    <w:p w14:paraId="1F46AD8C" w14:textId="44BB2483" w:rsidR="001B7A03" w:rsidRDefault="001B7A03" w:rsidP="003D49D5">
      <w:pPr>
        <w:tabs>
          <w:tab w:val="left" w:pos="540"/>
        </w:tabs>
        <w:spacing w:line="360" w:lineRule="auto"/>
        <w:rPr>
          <w:rStyle w:val="ICBAbold"/>
          <w:b w:val="0"/>
          <w:bCs/>
        </w:rPr>
      </w:pPr>
      <w:r>
        <w:rPr>
          <w:rStyle w:val="ICBAbold"/>
          <w:b w:val="0"/>
          <w:bCs/>
        </w:rPr>
        <w:t xml:space="preserve">Here’s the dilemma: If an inverted yield curve is a reliable predictor of an impending recession, and interest rates both short and long are going to fall soon, </w:t>
      </w:r>
      <w:r w:rsidR="00F86A4A">
        <w:rPr>
          <w:rStyle w:val="ICBAbold"/>
          <w:b w:val="0"/>
          <w:bCs/>
        </w:rPr>
        <w:t>where should investors place their bets today? In theory, it should be on the long end, which leaves money on the table</w:t>
      </w:r>
      <w:r w:rsidR="008F2D35">
        <w:rPr>
          <w:rStyle w:val="ICBAbold"/>
          <w:b w:val="0"/>
          <w:bCs/>
        </w:rPr>
        <w:t>—</w:t>
      </w:r>
      <w:r w:rsidR="0028208D">
        <w:rPr>
          <w:rStyle w:val="ICBAbold"/>
          <w:b w:val="0"/>
          <w:bCs/>
        </w:rPr>
        <w:t>t</w:t>
      </w:r>
      <w:r w:rsidR="00F86A4A">
        <w:rPr>
          <w:rStyle w:val="ICBAbold"/>
          <w:b w:val="0"/>
          <w:bCs/>
        </w:rPr>
        <w:t>oday.</w:t>
      </w:r>
    </w:p>
    <w:p w14:paraId="66AC20A9" w14:textId="77777777" w:rsidR="001B7A03" w:rsidRPr="005D5B4F" w:rsidRDefault="001B7A03" w:rsidP="003D49D5">
      <w:pPr>
        <w:tabs>
          <w:tab w:val="left" w:pos="540"/>
        </w:tabs>
        <w:spacing w:line="360" w:lineRule="auto"/>
        <w:rPr>
          <w:rStyle w:val="ICBAbold"/>
          <w:b w:val="0"/>
          <w:bCs/>
        </w:rPr>
      </w:pPr>
    </w:p>
    <w:p w14:paraId="0F75976F" w14:textId="74F076B5" w:rsidR="005D5B4F"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Pr="00531C4A">
        <w:rPr>
          <w:rStyle w:val="ICBAbold"/>
          <w:bCs/>
          <w:color w:val="FF0000"/>
        </w:rPr>
        <w:t xml:space="preserve"> </w:t>
      </w:r>
      <w:r w:rsidR="001B7A03">
        <w:rPr>
          <w:rStyle w:val="ICBAbold"/>
          <w:bCs/>
        </w:rPr>
        <w:t>MBS</w:t>
      </w:r>
      <w:r w:rsidR="00903A35">
        <w:rPr>
          <w:rStyle w:val="ICBAbold"/>
          <w:bCs/>
        </w:rPr>
        <w:t>,</w:t>
      </w:r>
      <w:r w:rsidR="001B7A03">
        <w:rPr>
          <w:rStyle w:val="ICBAbold"/>
          <w:bCs/>
        </w:rPr>
        <w:t xml:space="preserve"> too</w:t>
      </w:r>
    </w:p>
    <w:p w14:paraId="2DD583BA" w14:textId="77777777" w:rsidR="0028208D" w:rsidRDefault="001B7A03" w:rsidP="003D49D5">
      <w:pPr>
        <w:tabs>
          <w:tab w:val="left" w:pos="540"/>
        </w:tabs>
        <w:spacing w:line="360" w:lineRule="auto"/>
        <w:rPr>
          <w:rStyle w:val="ICBAbold"/>
          <w:b w:val="0"/>
          <w:bCs/>
        </w:rPr>
      </w:pPr>
      <w:r>
        <w:rPr>
          <w:rStyle w:val="ICBAbold"/>
          <w:b w:val="0"/>
          <w:bCs/>
        </w:rPr>
        <w:t>As we dig into the less-is-more narrative of upside-down curves, we can now</w:t>
      </w:r>
      <w:r w:rsidR="0028208D">
        <w:rPr>
          <w:rStyle w:val="ICBAbold"/>
          <w:b w:val="0"/>
          <w:bCs/>
        </w:rPr>
        <w:t xml:space="preserve"> add mortgage-backed securities (MBS) to the list, which is highly unusual. It is a rare condition indeed when shorter MBS out-yield longer ones, and this has to do with prepayment expectations. As home mortgage rates have doubled this year, anyone with an existing loan is going to sit tight and pay only the minimum amount of principal each month. </w:t>
      </w:r>
    </w:p>
    <w:p w14:paraId="50F2F098" w14:textId="20A697A6" w:rsidR="001B7A03" w:rsidRDefault="0028208D" w:rsidP="003D49D5">
      <w:pPr>
        <w:tabs>
          <w:tab w:val="left" w:pos="540"/>
        </w:tabs>
        <w:spacing w:line="360" w:lineRule="auto"/>
        <w:rPr>
          <w:rStyle w:val="ICBAbold"/>
          <w:bCs/>
        </w:rPr>
      </w:pPr>
      <w:r>
        <w:rPr>
          <w:rStyle w:val="ICBAbold"/>
          <w:b w:val="0"/>
          <w:bCs/>
        </w:rPr>
        <w:t xml:space="preserve">That means the lower rate pools will be longer in duration, </w:t>
      </w:r>
      <w:proofErr w:type="gramStart"/>
      <w:r>
        <w:rPr>
          <w:rStyle w:val="ICBAbold"/>
          <w:b w:val="0"/>
          <w:bCs/>
        </w:rPr>
        <w:t>and also</w:t>
      </w:r>
      <w:proofErr w:type="gramEnd"/>
      <w:r>
        <w:rPr>
          <w:rStyle w:val="ICBAbold"/>
          <w:b w:val="0"/>
          <w:bCs/>
        </w:rPr>
        <w:t xml:space="preserve"> lesser in yield, than more current ones. To put a pencil to it, a FNMA 15-year pool with a 4% stated rate will yield about </w:t>
      </w:r>
      <w:r w:rsidRPr="00BF4555">
        <w:rPr>
          <w:rStyle w:val="ICBAbold"/>
          <w:b w:val="0"/>
          <w:bCs/>
          <w:color w:val="FF0000"/>
        </w:rPr>
        <w:t>4</w:t>
      </w:r>
      <w:r>
        <w:rPr>
          <w:rStyle w:val="ICBAbold"/>
          <w:b w:val="0"/>
          <w:bCs/>
        </w:rPr>
        <w:t xml:space="preserve">% </w:t>
      </w:r>
      <w:proofErr w:type="gramStart"/>
      <w:r>
        <w:rPr>
          <w:rStyle w:val="ICBAbold"/>
          <w:b w:val="0"/>
          <w:bCs/>
        </w:rPr>
        <w:t>at the moment</w:t>
      </w:r>
      <w:proofErr w:type="gramEnd"/>
      <w:r>
        <w:rPr>
          <w:rStyle w:val="ICBAbold"/>
          <w:b w:val="0"/>
          <w:bCs/>
        </w:rPr>
        <w:t xml:space="preserve">, whereas a 15-year 3% pool will produce about a </w:t>
      </w:r>
      <w:r w:rsidRPr="00BF4555">
        <w:rPr>
          <w:rStyle w:val="ICBAbold"/>
          <w:b w:val="0"/>
          <w:bCs/>
          <w:color w:val="FF0000"/>
        </w:rPr>
        <w:t>3.5</w:t>
      </w:r>
      <w:r>
        <w:rPr>
          <w:rStyle w:val="ICBAbold"/>
          <w:b w:val="0"/>
          <w:bCs/>
        </w:rPr>
        <w:t xml:space="preserve">% return. When we add that the 4% MBS is expected to be </w:t>
      </w:r>
      <w:r w:rsidR="00AF6983">
        <w:rPr>
          <w:rStyle w:val="ICBAbold"/>
          <w:b w:val="0"/>
          <w:bCs/>
        </w:rPr>
        <w:t>nearly a</w:t>
      </w:r>
      <w:r>
        <w:rPr>
          <w:rStyle w:val="ICBAbold"/>
          <w:b w:val="0"/>
          <w:bCs/>
        </w:rPr>
        <w:t xml:space="preserve"> year shorter in average life, </w:t>
      </w:r>
      <w:r w:rsidR="00AF6983">
        <w:rPr>
          <w:rStyle w:val="ICBAbold"/>
          <w:b w:val="0"/>
          <w:bCs/>
        </w:rPr>
        <w:t xml:space="preserve">one can see why the “up in coupon” trade makes full economic sense in 2022. </w:t>
      </w:r>
    </w:p>
    <w:p w14:paraId="10EDD471" w14:textId="77777777" w:rsidR="001B7A03" w:rsidRDefault="001B7A03" w:rsidP="003D49D5">
      <w:pPr>
        <w:tabs>
          <w:tab w:val="left" w:pos="540"/>
        </w:tabs>
        <w:spacing w:line="360" w:lineRule="auto"/>
        <w:rPr>
          <w:rStyle w:val="ICBAbold"/>
          <w:bCs/>
        </w:rPr>
      </w:pPr>
    </w:p>
    <w:p w14:paraId="13DA7F2B" w14:textId="77777777" w:rsidR="001B7A03" w:rsidRDefault="001B7A03" w:rsidP="001B7A03">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Pr>
          <w:rStyle w:val="ICBAbold"/>
          <w:bCs/>
          <w:color w:val="FF0000"/>
        </w:rPr>
        <w:t xml:space="preserve"> </w:t>
      </w:r>
      <w:r>
        <w:rPr>
          <w:rStyle w:val="ICBAbold"/>
          <w:bCs/>
        </w:rPr>
        <w:t xml:space="preserve">Muni curve still steep </w:t>
      </w:r>
    </w:p>
    <w:p w14:paraId="404D3F41" w14:textId="187392DF" w:rsidR="001B7A03" w:rsidRDefault="001B7A03" w:rsidP="001B7A03">
      <w:pPr>
        <w:tabs>
          <w:tab w:val="left" w:pos="540"/>
        </w:tabs>
        <w:spacing w:line="360" w:lineRule="auto"/>
        <w:rPr>
          <w:rStyle w:val="ICBAbold"/>
          <w:b w:val="0"/>
          <w:bCs/>
        </w:rPr>
      </w:pPr>
      <w:r>
        <w:rPr>
          <w:rStyle w:val="ICBAbold"/>
          <w:b w:val="0"/>
          <w:bCs/>
        </w:rPr>
        <w:t xml:space="preserve">I need to mention that a sector </w:t>
      </w:r>
      <w:r w:rsidR="00903A35">
        <w:rPr>
          <w:rStyle w:val="ICBAbold"/>
          <w:b w:val="0"/>
          <w:bCs/>
        </w:rPr>
        <w:t xml:space="preserve">that </w:t>
      </w:r>
      <w:r>
        <w:rPr>
          <w:rStyle w:val="ICBAbold"/>
          <w:b w:val="0"/>
          <w:bCs/>
        </w:rPr>
        <w:t xml:space="preserve">is quite important to community banks </w:t>
      </w:r>
      <w:r w:rsidR="001A123E">
        <w:rPr>
          <w:rStyle w:val="ICBAbold"/>
          <w:b w:val="0"/>
          <w:bCs/>
        </w:rPr>
        <w:t>is</w:t>
      </w:r>
      <w:r>
        <w:rPr>
          <w:rStyle w:val="ICBAbold"/>
          <w:b w:val="0"/>
          <w:bCs/>
        </w:rPr>
        <w:t xml:space="preserve"> not now, nor has it ever recently been, inverted. Tax-free </w:t>
      </w:r>
      <w:proofErr w:type="spellStart"/>
      <w:r>
        <w:rPr>
          <w:rStyle w:val="ICBAbold"/>
          <w:b w:val="0"/>
          <w:bCs/>
        </w:rPr>
        <w:t>munis</w:t>
      </w:r>
      <w:proofErr w:type="spellEnd"/>
      <w:r>
        <w:rPr>
          <w:rStyle w:val="ICBAbold"/>
          <w:b w:val="0"/>
          <w:bCs/>
        </w:rPr>
        <w:t xml:space="preserve"> appeal to many buyers, including individuals. In fact, </w:t>
      </w:r>
      <w:r w:rsidR="00903A35">
        <w:rPr>
          <w:rStyle w:val="ICBAbold"/>
          <w:b w:val="0"/>
          <w:bCs/>
        </w:rPr>
        <w:t>most of</w:t>
      </w:r>
      <w:r>
        <w:rPr>
          <w:rStyle w:val="ICBAbold"/>
          <w:b w:val="0"/>
          <w:bCs/>
        </w:rPr>
        <w:t xml:space="preserve"> that sector is owned by retail investors, whose needs (and marginal tax brackets) are </w:t>
      </w:r>
      <w:r>
        <w:rPr>
          <w:rStyle w:val="ICBAbold"/>
          <w:b w:val="0"/>
          <w:bCs/>
        </w:rPr>
        <w:lastRenderedPageBreak/>
        <w:t xml:space="preserve">different than your </w:t>
      </w:r>
      <w:proofErr w:type="spellStart"/>
      <w:r>
        <w:rPr>
          <w:rStyle w:val="ICBAbold"/>
          <w:b w:val="0"/>
          <w:bCs/>
        </w:rPr>
        <w:t>bank’s</w:t>
      </w:r>
      <w:proofErr w:type="spellEnd"/>
      <w:r>
        <w:rPr>
          <w:rStyle w:val="ICBAbold"/>
          <w:b w:val="0"/>
          <w:bCs/>
        </w:rPr>
        <w:t xml:space="preserve">. Retail demand sets the yield curve for all </w:t>
      </w:r>
      <w:proofErr w:type="spellStart"/>
      <w:r>
        <w:rPr>
          <w:rStyle w:val="ICBAbold"/>
          <w:b w:val="0"/>
          <w:bCs/>
        </w:rPr>
        <w:t>muni</w:t>
      </w:r>
      <w:proofErr w:type="spellEnd"/>
      <w:r>
        <w:rPr>
          <w:rStyle w:val="ICBAbold"/>
          <w:b w:val="0"/>
          <w:bCs/>
        </w:rPr>
        <w:t xml:space="preserve"> buyers, and mom and pop tend to load up on short bonds, which keeps short yields under wraps. </w:t>
      </w:r>
    </w:p>
    <w:p w14:paraId="53EECE67" w14:textId="6031FF5F" w:rsidR="001B7A03" w:rsidRDefault="001B7A03" w:rsidP="001B7A03">
      <w:pPr>
        <w:tabs>
          <w:tab w:val="left" w:pos="540"/>
        </w:tabs>
        <w:spacing w:line="360" w:lineRule="auto"/>
        <w:rPr>
          <w:rStyle w:val="ICBAbold"/>
          <w:b w:val="0"/>
          <w:bCs/>
        </w:rPr>
      </w:pPr>
      <w:r>
        <w:rPr>
          <w:rStyle w:val="ICBAbold"/>
          <w:b w:val="0"/>
          <w:bCs/>
        </w:rPr>
        <w:t xml:space="preserve">As of October 2022, the investment-grade </w:t>
      </w:r>
      <w:proofErr w:type="spellStart"/>
      <w:r>
        <w:rPr>
          <w:rStyle w:val="ICBAbold"/>
          <w:b w:val="0"/>
          <w:bCs/>
        </w:rPr>
        <w:t>muni</w:t>
      </w:r>
      <w:proofErr w:type="spellEnd"/>
      <w:r>
        <w:rPr>
          <w:rStyle w:val="ICBAbold"/>
          <w:b w:val="0"/>
          <w:bCs/>
        </w:rPr>
        <w:t xml:space="preserve"> curve was </w:t>
      </w:r>
      <w:r w:rsidR="00903A35">
        <w:rPr>
          <w:rStyle w:val="ICBAbold"/>
          <w:b w:val="0"/>
          <w:bCs/>
        </w:rPr>
        <w:t>&lt;</w:t>
      </w:r>
      <w:proofErr w:type="spellStart"/>
      <w:r w:rsidR="00903A35">
        <w:rPr>
          <w:rStyle w:val="ICBAbold"/>
          <w:b w:val="0"/>
          <w:bCs/>
        </w:rPr>
        <w:t>i</w:t>
      </w:r>
      <w:proofErr w:type="spellEnd"/>
      <w:r w:rsidR="00903A35">
        <w:rPr>
          <w:rStyle w:val="ICBAbold"/>
          <w:b w:val="0"/>
          <w:bCs/>
        </w:rPr>
        <w:t>&gt;</w:t>
      </w:r>
      <w:r w:rsidRPr="004D267B">
        <w:rPr>
          <w:rStyle w:val="ICBAbold"/>
          <w:b w:val="0"/>
          <w:bCs/>
          <w:i/>
        </w:rPr>
        <w:t>positively</w:t>
      </w:r>
      <w:r w:rsidR="00903A35">
        <w:rPr>
          <w:rStyle w:val="ICBAbold"/>
          <w:b w:val="0"/>
          <w:bCs/>
          <w:i/>
        </w:rPr>
        <w:t>&lt;</w:t>
      </w:r>
      <w:proofErr w:type="spellStart"/>
      <w:r w:rsidR="00903A35">
        <w:rPr>
          <w:rStyle w:val="ICBAbold"/>
          <w:b w:val="0"/>
          <w:bCs/>
          <w:i/>
        </w:rPr>
        <w:t>i</w:t>
      </w:r>
      <w:proofErr w:type="spellEnd"/>
      <w:r w:rsidR="00903A35">
        <w:rPr>
          <w:rStyle w:val="ICBAbold"/>
          <w:b w:val="0"/>
          <w:bCs/>
          <w:i/>
        </w:rPr>
        <w:t>&gt;</w:t>
      </w:r>
      <w:r>
        <w:rPr>
          <w:rStyle w:val="ICBAbold"/>
          <w:b w:val="0"/>
          <w:bCs/>
        </w:rPr>
        <w:t xml:space="preserve"> sloped by about </w:t>
      </w:r>
      <w:r w:rsidRPr="00BF4555">
        <w:rPr>
          <w:rStyle w:val="ICBAbold"/>
          <w:b w:val="0"/>
          <w:bCs/>
          <w:color w:val="FF0000"/>
        </w:rPr>
        <w:t>70</w:t>
      </w:r>
      <w:r>
        <w:rPr>
          <w:rStyle w:val="ICBAbold"/>
          <w:b w:val="0"/>
          <w:bCs/>
        </w:rPr>
        <w:t xml:space="preserve"> basis points (</w:t>
      </w:r>
      <w:r w:rsidRPr="00BF4555">
        <w:rPr>
          <w:rStyle w:val="ICBAbold"/>
          <w:b w:val="0"/>
          <w:bCs/>
          <w:color w:val="FF0000"/>
        </w:rPr>
        <w:t>0.70</w:t>
      </w:r>
      <w:r>
        <w:rPr>
          <w:rStyle w:val="ICBAbold"/>
          <w:b w:val="0"/>
          <w:bCs/>
        </w:rPr>
        <w:t xml:space="preserve">%) for C </w:t>
      </w:r>
      <w:r w:rsidR="00903A35">
        <w:rPr>
          <w:rStyle w:val="ICBAbold"/>
          <w:b w:val="0"/>
          <w:bCs/>
        </w:rPr>
        <w:t>corps</w:t>
      </w:r>
      <w:r>
        <w:rPr>
          <w:rStyle w:val="ICBAbold"/>
          <w:b w:val="0"/>
          <w:bCs/>
        </w:rPr>
        <w:t xml:space="preserve">, and even more for S </w:t>
      </w:r>
      <w:r w:rsidR="00903A35">
        <w:rPr>
          <w:rStyle w:val="ICBAbold"/>
          <w:b w:val="0"/>
          <w:bCs/>
        </w:rPr>
        <w:t>corps</w:t>
      </w:r>
      <w:r>
        <w:rPr>
          <w:rStyle w:val="ICBAbold"/>
          <w:b w:val="0"/>
          <w:bCs/>
        </w:rPr>
        <w:t xml:space="preserve">. This is proof that the municipal sector has a mind of its own. It is the least </w:t>
      </w:r>
      <w:r w:rsidR="00903A35">
        <w:rPr>
          <w:rStyle w:val="ICBAbold"/>
          <w:b w:val="0"/>
          <w:bCs/>
        </w:rPr>
        <w:t>affected</w:t>
      </w:r>
      <w:r>
        <w:rPr>
          <w:rStyle w:val="ICBAbold"/>
          <w:b w:val="0"/>
          <w:bCs/>
        </w:rPr>
        <w:t xml:space="preserve">, for better or worse, by Fed activity. </w:t>
      </w:r>
    </w:p>
    <w:p w14:paraId="5070BDD1" w14:textId="794745CD" w:rsidR="00AF6983" w:rsidRDefault="00AF6983" w:rsidP="001B7A03">
      <w:pPr>
        <w:tabs>
          <w:tab w:val="left" w:pos="540"/>
        </w:tabs>
        <w:spacing w:line="360" w:lineRule="auto"/>
        <w:rPr>
          <w:rStyle w:val="ICBAbold"/>
          <w:b w:val="0"/>
          <w:bCs/>
        </w:rPr>
      </w:pPr>
    </w:p>
    <w:p w14:paraId="40227BC5" w14:textId="791EC32A" w:rsidR="00DB7CEC" w:rsidRPr="00DB7CEC" w:rsidRDefault="008164B1" w:rsidP="001B7A03">
      <w:pPr>
        <w:tabs>
          <w:tab w:val="left" w:pos="540"/>
        </w:tabs>
        <w:spacing w:line="360" w:lineRule="auto"/>
        <w:rPr>
          <w:rStyle w:val="ICBAbold"/>
          <w:bCs/>
        </w:rPr>
      </w:pPr>
      <w:r w:rsidRPr="00882B2A">
        <w:rPr>
          <w:rStyle w:val="ICBAbold"/>
          <w:b w:val="0"/>
          <w:bCs/>
          <w:color w:val="FF0000"/>
        </w:rPr>
        <w:t>[subhead]</w:t>
      </w:r>
      <w:r w:rsidR="00903A35">
        <w:rPr>
          <w:rStyle w:val="ICBAbold"/>
          <w:bCs/>
        </w:rPr>
        <w:t xml:space="preserve"> </w:t>
      </w:r>
      <w:r w:rsidR="00DB7CEC" w:rsidRPr="00DB7CEC">
        <w:rPr>
          <w:rStyle w:val="ICBAbold"/>
          <w:bCs/>
        </w:rPr>
        <w:t>Here’s a thought</w:t>
      </w:r>
    </w:p>
    <w:p w14:paraId="737F2883" w14:textId="70999E97" w:rsidR="00AF6983" w:rsidRDefault="00AF6983" w:rsidP="001B7A03">
      <w:pPr>
        <w:tabs>
          <w:tab w:val="left" w:pos="540"/>
        </w:tabs>
        <w:spacing w:line="360" w:lineRule="auto"/>
        <w:rPr>
          <w:rStyle w:val="ICBAbold"/>
          <w:b w:val="0"/>
          <w:bCs/>
        </w:rPr>
      </w:pPr>
      <w:proofErr w:type="gramStart"/>
      <w:r>
        <w:rPr>
          <w:rStyle w:val="ICBAbold"/>
          <w:b w:val="0"/>
          <w:bCs/>
        </w:rPr>
        <w:t>So</w:t>
      </w:r>
      <w:proofErr w:type="gramEnd"/>
      <w:r>
        <w:rPr>
          <w:rStyle w:val="ICBAbold"/>
          <w:b w:val="0"/>
          <w:bCs/>
        </w:rPr>
        <w:t xml:space="preserve"> what do we make of all of this inversion business?</w:t>
      </w:r>
      <w:r w:rsidR="00DB7CEC">
        <w:rPr>
          <w:rStyle w:val="ICBAbold"/>
          <w:b w:val="0"/>
          <w:bCs/>
        </w:rPr>
        <w:t xml:space="preserve"> The yield curve is on a 40-year winning streak of predicting slowdowns. It’s also clear that short yields have gotten to levels that can make some money for community banks, whose deposit costs have remained quite low. So how about this as a suggestion: a barbell structure.</w:t>
      </w:r>
    </w:p>
    <w:p w14:paraId="1B509DDB" w14:textId="51567D69" w:rsidR="00DB7CEC" w:rsidRDefault="00DB7CEC" w:rsidP="001B7A03">
      <w:pPr>
        <w:tabs>
          <w:tab w:val="left" w:pos="540"/>
        </w:tabs>
        <w:spacing w:line="360" w:lineRule="auto"/>
        <w:rPr>
          <w:rStyle w:val="ICBAbold"/>
          <w:b w:val="0"/>
          <w:bCs/>
        </w:rPr>
      </w:pPr>
      <w:r>
        <w:rPr>
          <w:rStyle w:val="ICBAbold"/>
          <w:b w:val="0"/>
          <w:bCs/>
        </w:rPr>
        <w:t xml:space="preserve">Equal amounts of short- and long-term investments (you get to define those limits) will work out </w:t>
      </w:r>
      <w:proofErr w:type="gramStart"/>
      <w:r>
        <w:rPr>
          <w:rStyle w:val="ICBAbold"/>
          <w:b w:val="0"/>
          <w:bCs/>
        </w:rPr>
        <w:t>fine, if</w:t>
      </w:r>
      <w:proofErr w:type="gramEnd"/>
      <w:r>
        <w:rPr>
          <w:rStyle w:val="ICBAbold"/>
          <w:b w:val="0"/>
          <w:bCs/>
        </w:rPr>
        <w:t xml:space="preserve"> either a) the curve inverts further; b) th</w:t>
      </w:r>
      <w:r w:rsidR="00BF4555">
        <w:rPr>
          <w:rStyle w:val="ICBAbold"/>
          <w:b w:val="0"/>
          <w:bCs/>
        </w:rPr>
        <w:t xml:space="preserve">e curve begins to steepen; or c) the curve remains flat. And I’d say there’s a good chance of one of those results occurring. </w:t>
      </w:r>
      <w:proofErr w:type="gramStart"/>
      <w:r w:rsidR="00BF4555">
        <w:rPr>
          <w:rStyle w:val="ICBAbold"/>
          <w:b w:val="0"/>
          <w:bCs/>
        </w:rPr>
        <w:t>So</w:t>
      </w:r>
      <w:proofErr w:type="gramEnd"/>
      <w:r w:rsidR="00BF4555">
        <w:rPr>
          <w:rStyle w:val="ICBAbold"/>
          <w:b w:val="0"/>
          <w:bCs/>
        </w:rPr>
        <w:t xml:space="preserve"> my advice (no surprise here!) is to invest at different parts of the curve, in a variety of products. And you can leave the tumult of the yield curve’s shape to the pundits.   </w:t>
      </w:r>
    </w:p>
    <w:p w14:paraId="7B4FF95D" w14:textId="77777777" w:rsidR="00055B01" w:rsidRDefault="00055B01" w:rsidP="003D49D5">
      <w:pPr>
        <w:tabs>
          <w:tab w:val="left" w:pos="540"/>
        </w:tabs>
        <w:spacing w:line="360" w:lineRule="auto"/>
        <w:rPr>
          <w:color w:val="000000" w:themeColor="text1"/>
        </w:rPr>
      </w:pPr>
    </w:p>
    <w:p w14:paraId="6E0B3AC9" w14:textId="517F4028" w:rsidR="003D49D5" w:rsidRPr="009B4A7A" w:rsidRDefault="003D49D5" w:rsidP="003D49D5">
      <w:pPr>
        <w:tabs>
          <w:tab w:val="left" w:pos="540"/>
        </w:tabs>
        <w:spacing w:line="360" w:lineRule="auto"/>
        <w:rPr>
          <w:b/>
          <w:bCs/>
          <w:iCs/>
        </w:rPr>
      </w:pPr>
      <w:r w:rsidRPr="005F77C9">
        <w:rPr>
          <w:rStyle w:val="ICBAbold"/>
          <w:iCs/>
        </w:rPr>
        <w:t xml:space="preserve">Jim </w:t>
      </w:r>
      <w:proofErr w:type="spellStart"/>
      <w:r w:rsidRPr="005F77C9">
        <w:rPr>
          <w:rStyle w:val="ICBAbold"/>
          <w:iCs/>
        </w:rPr>
        <w:t>Reber</w:t>
      </w:r>
      <w:proofErr w:type="spellEnd"/>
      <w:r w:rsidRPr="00920512">
        <w:rPr>
          <w:iCs/>
        </w:rPr>
        <w:t xml:space="preserve"> </w:t>
      </w:r>
      <w:r w:rsidRPr="009B4A7A">
        <w:rPr>
          <w:b/>
          <w:bCs/>
          <w:iCs/>
        </w:rPr>
        <w:t>(</w:t>
      </w:r>
      <w:hyperlink r:id="rId6" w:history="1">
        <w:r w:rsidRPr="009B4A7A">
          <w:rPr>
            <w:rStyle w:val="Hyperlink"/>
            <w:b/>
            <w:bCs/>
            <w:i/>
          </w:rPr>
          <w:t>jreber@icbasecurities.com</w:t>
        </w:r>
      </w:hyperlink>
      <w:r w:rsidRPr="009B4A7A">
        <w:rPr>
          <w:b/>
          <w:bCs/>
          <w:iCs/>
        </w:rPr>
        <w:t xml:space="preserve">) is president and CEO of ICBA Securities, ICBA’s institutional, fixed-income broker-dealer for community banks. </w:t>
      </w:r>
    </w:p>
    <w:p w14:paraId="3BC940F3" w14:textId="3B0578C9" w:rsidR="003D49D5" w:rsidRDefault="00C56651" w:rsidP="003D49D5">
      <w:pPr>
        <w:tabs>
          <w:tab w:val="left" w:pos="540"/>
        </w:tabs>
        <w:spacing w:line="360" w:lineRule="auto"/>
        <w:rPr>
          <w:rStyle w:val="ICBAbold"/>
          <w:b w:val="0"/>
          <w:color w:val="FF0000"/>
        </w:rPr>
      </w:pPr>
      <w:r w:rsidRPr="005F77C9">
        <w:rPr>
          <w:rStyle w:val="ICBAbold"/>
          <w:b w:val="0"/>
          <w:color w:val="FF0000"/>
        </w:rPr>
        <w:t>[ends]</w:t>
      </w:r>
      <w:bookmarkEnd w:id="0"/>
    </w:p>
    <w:p w14:paraId="5BF77DAD" w14:textId="29082A72" w:rsidR="00987923" w:rsidRDefault="00987923" w:rsidP="003D49D5">
      <w:pPr>
        <w:tabs>
          <w:tab w:val="left" w:pos="540"/>
        </w:tabs>
        <w:spacing w:line="360" w:lineRule="auto"/>
        <w:rPr>
          <w:rStyle w:val="ICBAbold"/>
          <w:b w:val="0"/>
          <w:color w:val="FF0000"/>
        </w:rPr>
      </w:pPr>
    </w:p>
    <w:p w14:paraId="3951317B" w14:textId="11B7F3FD" w:rsidR="00987923" w:rsidRPr="00987923" w:rsidRDefault="00987923" w:rsidP="003D49D5">
      <w:pPr>
        <w:tabs>
          <w:tab w:val="left" w:pos="540"/>
        </w:tabs>
        <w:spacing w:line="360" w:lineRule="auto"/>
        <w:rPr>
          <w:rStyle w:val="ICBAbold"/>
          <w:b w:val="0"/>
          <w:color w:val="FF0000"/>
        </w:rPr>
      </w:pPr>
      <w:r w:rsidRPr="00987923">
        <w:rPr>
          <w:rStyle w:val="ICBAbold"/>
          <w:b w:val="0"/>
          <w:color w:val="FF0000"/>
        </w:rPr>
        <w:t>[pull quote options from Jim]</w:t>
      </w:r>
    </w:p>
    <w:p w14:paraId="6153457D" w14:textId="6C0F8D95" w:rsidR="00987923" w:rsidRDefault="00987923" w:rsidP="003D49D5">
      <w:pPr>
        <w:tabs>
          <w:tab w:val="left" w:pos="540"/>
        </w:tabs>
        <w:spacing w:line="360" w:lineRule="auto"/>
        <w:rPr>
          <w:rStyle w:val="ICBAbold"/>
          <w:b w:val="0"/>
          <w:bCs/>
        </w:rPr>
      </w:pPr>
      <w:r>
        <w:rPr>
          <w:rStyle w:val="ICBAbold"/>
          <w:b w:val="0"/>
          <w:bCs/>
        </w:rPr>
        <w:t xml:space="preserve">Equal amounts of short- and long-term investments will work out </w:t>
      </w:r>
      <w:proofErr w:type="gramStart"/>
      <w:r>
        <w:rPr>
          <w:rStyle w:val="ICBAbold"/>
          <w:b w:val="0"/>
          <w:bCs/>
        </w:rPr>
        <w:t>fine, if</w:t>
      </w:r>
      <w:proofErr w:type="gramEnd"/>
      <w:r>
        <w:rPr>
          <w:rStyle w:val="ICBAbold"/>
          <w:b w:val="0"/>
          <w:bCs/>
        </w:rPr>
        <w:t xml:space="preserve"> either a) the curve inverts further; b) the curve begins to steepen; or c) the curve remains flat.</w:t>
      </w:r>
    </w:p>
    <w:p w14:paraId="2BB77282" w14:textId="12F0FD3E" w:rsidR="00987923" w:rsidRDefault="00987923" w:rsidP="003D49D5">
      <w:pPr>
        <w:tabs>
          <w:tab w:val="left" w:pos="540"/>
        </w:tabs>
        <w:spacing w:line="360" w:lineRule="auto"/>
        <w:rPr>
          <w:rStyle w:val="ICBAbold"/>
          <w:b w:val="0"/>
          <w:bCs/>
        </w:rPr>
      </w:pPr>
    </w:p>
    <w:p w14:paraId="42300173" w14:textId="25CFBA7C" w:rsidR="00987923" w:rsidRPr="005F77C9" w:rsidRDefault="00987923" w:rsidP="003D49D5">
      <w:pPr>
        <w:tabs>
          <w:tab w:val="left" w:pos="540"/>
        </w:tabs>
        <w:spacing w:line="360" w:lineRule="auto"/>
        <w:rPr>
          <w:rStyle w:val="ICBAbold"/>
          <w:b w:val="0"/>
          <w:color w:val="FF0000"/>
        </w:rPr>
      </w:pPr>
      <w:r>
        <w:rPr>
          <w:rStyle w:val="ICBAbold"/>
          <w:b w:val="0"/>
          <w:bCs/>
        </w:rPr>
        <w:t>It’s clear that short yields have gotten to levels that can make some money for community banks, whose deposit costs have remained quite low.</w:t>
      </w:r>
    </w:p>
    <w:sectPr w:rsidR="00987923" w:rsidRPr="005F77C9"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98287170">
    <w:abstractNumId w:val="31"/>
  </w:num>
  <w:num w:numId="2" w16cid:durableId="695732376">
    <w:abstractNumId w:val="19"/>
  </w:num>
  <w:num w:numId="3" w16cid:durableId="423649505">
    <w:abstractNumId w:val="16"/>
  </w:num>
  <w:num w:numId="4" w16cid:durableId="1641417715">
    <w:abstractNumId w:val="34"/>
  </w:num>
  <w:num w:numId="5" w16cid:durableId="616255713">
    <w:abstractNumId w:val="13"/>
  </w:num>
  <w:num w:numId="6" w16cid:durableId="837884751">
    <w:abstractNumId w:val="26"/>
  </w:num>
  <w:num w:numId="7" w16cid:durableId="1125001107">
    <w:abstractNumId w:val="23"/>
  </w:num>
  <w:num w:numId="8" w16cid:durableId="1552689985">
    <w:abstractNumId w:val="0"/>
  </w:num>
  <w:num w:numId="9" w16cid:durableId="1921254274">
    <w:abstractNumId w:val="24"/>
  </w:num>
  <w:num w:numId="10" w16cid:durableId="195890955">
    <w:abstractNumId w:val="8"/>
  </w:num>
  <w:num w:numId="11" w16cid:durableId="62415992">
    <w:abstractNumId w:val="27"/>
  </w:num>
  <w:num w:numId="12" w16cid:durableId="36201493">
    <w:abstractNumId w:val="28"/>
  </w:num>
  <w:num w:numId="13" w16cid:durableId="1868366759">
    <w:abstractNumId w:val="18"/>
  </w:num>
  <w:num w:numId="14" w16cid:durableId="1616600149">
    <w:abstractNumId w:val="32"/>
  </w:num>
  <w:num w:numId="15" w16cid:durableId="1453403537">
    <w:abstractNumId w:val="21"/>
  </w:num>
  <w:num w:numId="16" w16cid:durableId="1648046358">
    <w:abstractNumId w:val="11"/>
  </w:num>
  <w:num w:numId="17" w16cid:durableId="1824539060">
    <w:abstractNumId w:val="25"/>
  </w:num>
  <w:num w:numId="18" w16cid:durableId="2041471890">
    <w:abstractNumId w:val="15"/>
  </w:num>
  <w:num w:numId="19" w16cid:durableId="1017269574">
    <w:abstractNumId w:val="3"/>
  </w:num>
  <w:num w:numId="20" w16cid:durableId="1449935929">
    <w:abstractNumId w:val="5"/>
  </w:num>
  <w:num w:numId="21" w16cid:durableId="1307122099">
    <w:abstractNumId w:val="30"/>
  </w:num>
  <w:num w:numId="22" w16cid:durableId="810486004">
    <w:abstractNumId w:val="20"/>
  </w:num>
  <w:num w:numId="23" w16cid:durableId="1199778784">
    <w:abstractNumId w:val="7"/>
  </w:num>
  <w:num w:numId="24" w16cid:durableId="1692149950">
    <w:abstractNumId w:val="12"/>
  </w:num>
  <w:num w:numId="25" w16cid:durableId="1657878877">
    <w:abstractNumId w:val="14"/>
  </w:num>
  <w:num w:numId="26" w16cid:durableId="315379067">
    <w:abstractNumId w:val="17"/>
  </w:num>
  <w:num w:numId="27" w16cid:durableId="523131596">
    <w:abstractNumId w:val="33"/>
  </w:num>
  <w:num w:numId="28" w16cid:durableId="592517994">
    <w:abstractNumId w:val="6"/>
  </w:num>
  <w:num w:numId="29" w16cid:durableId="59329684">
    <w:abstractNumId w:val="1"/>
  </w:num>
  <w:num w:numId="30" w16cid:durableId="1935278429">
    <w:abstractNumId w:val="10"/>
  </w:num>
  <w:num w:numId="31" w16cid:durableId="1667584726">
    <w:abstractNumId w:val="22"/>
  </w:num>
  <w:num w:numId="32" w16cid:durableId="1523476087">
    <w:abstractNumId w:val="29"/>
  </w:num>
  <w:num w:numId="33" w16cid:durableId="360016075">
    <w:abstractNumId w:val="9"/>
  </w:num>
  <w:num w:numId="34" w16cid:durableId="530805392">
    <w:abstractNumId w:val="2"/>
  </w:num>
  <w:num w:numId="35" w16cid:durableId="197934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67"/>
    <w:rsid w:val="000C40B1"/>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5072"/>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B04B5"/>
    <w:rsid w:val="001B13A0"/>
    <w:rsid w:val="001B1862"/>
    <w:rsid w:val="001B1BAC"/>
    <w:rsid w:val="001B27D6"/>
    <w:rsid w:val="001B2FFA"/>
    <w:rsid w:val="001B3216"/>
    <w:rsid w:val="001B355F"/>
    <w:rsid w:val="001B4397"/>
    <w:rsid w:val="001B4AF1"/>
    <w:rsid w:val="001B4D1A"/>
    <w:rsid w:val="001B4EE0"/>
    <w:rsid w:val="001B612B"/>
    <w:rsid w:val="001B6A58"/>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1E"/>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08D"/>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40"/>
    <w:rsid w:val="003044D2"/>
    <w:rsid w:val="00304527"/>
    <w:rsid w:val="00304791"/>
    <w:rsid w:val="00304811"/>
    <w:rsid w:val="00304E0F"/>
    <w:rsid w:val="00305081"/>
    <w:rsid w:val="003052BE"/>
    <w:rsid w:val="0030587A"/>
    <w:rsid w:val="003070D1"/>
    <w:rsid w:val="003074F8"/>
    <w:rsid w:val="00307623"/>
    <w:rsid w:val="00307D86"/>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4E1D"/>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2924"/>
    <w:rsid w:val="005B375B"/>
    <w:rsid w:val="005B428F"/>
    <w:rsid w:val="005B457C"/>
    <w:rsid w:val="005B4DD4"/>
    <w:rsid w:val="005B5000"/>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0E1"/>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A9D"/>
    <w:rsid w:val="006E2032"/>
    <w:rsid w:val="006E2355"/>
    <w:rsid w:val="006E238D"/>
    <w:rsid w:val="006E23CC"/>
    <w:rsid w:val="006E2E6C"/>
    <w:rsid w:val="006E3053"/>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1A8"/>
    <w:rsid w:val="007645B8"/>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195"/>
    <w:rsid w:val="00830423"/>
    <w:rsid w:val="00831910"/>
    <w:rsid w:val="00831917"/>
    <w:rsid w:val="00831B6C"/>
    <w:rsid w:val="0083254B"/>
    <w:rsid w:val="00833034"/>
    <w:rsid w:val="008342E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2B2A"/>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4D5F"/>
    <w:rsid w:val="008953E0"/>
    <w:rsid w:val="0089600C"/>
    <w:rsid w:val="008965FD"/>
    <w:rsid w:val="00896968"/>
    <w:rsid w:val="00896FF1"/>
    <w:rsid w:val="008A0443"/>
    <w:rsid w:val="008A052D"/>
    <w:rsid w:val="008A1E68"/>
    <w:rsid w:val="008A2036"/>
    <w:rsid w:val="008A24B2"/>
    <w:rsid w:val="008A297E"/>
    <w:rsid w:val="008A4361"/>
    <w:rsid w:val="008A6443"/>
    <w:rsid w:val="008A7A9F"/>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3A35"/>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512"/>
    <w:rsid w:val="00920D8A"/>
    <w:rsid w:val="00920D8E"/>
    <w:rsid w:val="0092111A"/>
    <w:rsid w:val="009216F5"/>
    <w:rsid w:val="009220F4"/>
    <w:rsid w:val="00922980"/>
    <w:rsid w:val="00922A63"/>
    <w:rsid w:val="00923036"/>
    <w:rsid w:val="009236B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923"/>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BD9"/>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F8B"/>
    <w:rsid w:val="00A45FF7"/>
    <w:rsid w:val="00A5068C"/>
    <w:rsid w:val="00A50A7D"/>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BBE"/>
    <w:rsid w:val="00B05D15"/>
    <w:rsid w:val="00B06803"/>
    <w:rsid w:val="00B0761F"/>
    <w:rsid w:val="00B07668"/>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0BE0"/>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601E"/>
    <w:rsid w:val="00BF6151"/>
    <w:rsid w:val="00BF69EA"/>
    <w:rsid w:val="00BF792D"/>
    <w:rsid w:val="00C00191"/>
    <w:rsid w:val="00C019DA"/>
    <w:rsid w:val="00C0309B"/>
    <w:rsid w:val="00C040A8"/>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0CD4"/>
    <w:rsid w:val="00C610AA"/>
    <w:rsid w:val="00C616FE"/>
    <w:rsid w:val="00C6187A"/>
    <w:rsid w:val="00C618C1"/>
    <w:rsid w:val="00C61B5C"/>
    <w:rsid w:val="00C61C0B"/>
    <w:rsid w:val="00C61DAB"/>
    <w:rsid w:val="00C62342"/>
    <w:rsid w:val="00C631EB"/>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192"/>
    <w:rsid w:val="00CD52C8"/>
    <w:rsid w:val="00CD56A0"/>
    <w:rsid w:val="00CD585D"/>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19E1"/>
    <w:rsid w:val="00EF359F"/>
    <w:rsid w:val="00EF3CCA"/>
    <w:rsid w:val="00EF5419"/>
    <w:rsid w:val="00EF5C8B"/>
    <w:rsid w:val="00EF65E8"/>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2B3C"/>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42FA"/>
    <w:rsid w:val="00FC5349"/>
    <w:rsid w:val="00FC57E1"/>
    <w:rsid w:val="00FC6015"/>
    <w:rsid w:val="00FC6F87"/>
    <w:rsid w:val="00FD064C"/>
    <w:rsid w:val="00FD1896"/>
    <w:rsid w:val="00FD3B3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72A3-B97D-4679-8D4F-298026AB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5828</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4</cp:revision>
  <cp:lastPrinted>2021-04-28T14:53:00Z</cp:lastPrinted>
  <dcterms:created xsi:type="dcterms:W3CDTF">2022-09-13T20:19:00Z</dcterms:created>
  <dcterms:modified xsi:type="dcterms:W3CDTF">2022-11-10T20:38:00Z</dcterms:modified>
</cp:coreProperties>
</file>