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8F6" w14:textId="52A06105" w:rsidR="00F86B09" w:rsidRPr="00FD4282" w:rsidRDefault="00296592" w:rsidP="0083104C">
      <w:pPr>
        <w:tabs>
          <w:tab w:val="left" w:pos="540"/>
          <w:tab w:val="left" w:pos="2550"/>
        </w:tabs>
        <w:spacing w:after="240" w:line="276" w:lineRule="auto"/>
        <w:rPr>
          <w:rStyle w:val="ICBAbold"/>
        </w:rPr>
      </w:pPr>
      <w:bookmarkStart w:id="0" w:name="_Hlk66104766"/>
      <w:r w:rsidRPr="003D49D5">
        <w:rPr>
          <w:rStyle w:val="ICBAbold"/>
        </w:rPr>
        <w:t>Independent Banker</w:t>
      </w:r>
      <w:r w:rsidR="00FD4282">
        <w:rPr>
          <w:rStyle w:val="ICBAbold"/>
        </w:rPr>
        <w:br/>
      </w:r>
      <w:r w:rsidR="003D533A">
        <w:rPr>
          <w:rStyle w:val="ICBAbold"/>
        </w:rPr>
        <w:t>May</w:t>
      </w:r>
      <w:r w:rsidR="0069006D">
        <w:rPr>
          <w:rStyle w:val="ICBAbold"/>
        </w:rPr>
        <w:t xml:space="preserve"> 2023</w:t>
      </w:r>
      <w:r w:rsidR="00FD4282">
        <w:rPr>
          <w:rStyle w:val="ICBAbold"/>
        </w:rPr>
        <w:br/>
      </w:r>
      <w:r w:rsidRPr="003D49D5">
        <w:rPr>
          <w:rStyle w:val="ICBAbold"/>
          <w:bCs/>
        </w:rPr>
        <w:t>Portfolio</w:t>
      </w:r>
      <w:r w:rsidR="00536105" w:rsidRPr="003D49D5">
        <w:rPr>
          <w:rStyle w:val="ICBAbold"/>
          <w:bCs/>
        </w:rPr>
        <w:t xml:space="preserve"> </w:t>
      </w:r>
    </w:p>
    <w:p w14:paraId="2B8AF5A7" w14:textId="0AB427E6" w:rsidR="004C4F00" w:rsidRPr="0083104C" w:rsidRDefault="00F86B09" w:rsidP="0083104C">
      <w:pPr>
        <w:tabs>
          <w:tab w:val="left" w:pos="540"/>
          <w:tab w:val="left" w:pos="2550"/>
        </w:tabs>
        <w:spacing w:after="240" w:line="276"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55AE383" w14:textId="006341EA" w:rsidR="00322C2C" w:rsidRPr="00322C2C" w:rsidRDefault="009C7D32" w:rsidP="00322C2C">
      <w:pPr>
        <w:tabs>
          <w:tab w:val="left" w:pos="540"/>
        </w:tabs>
        <w:spacing w:after="240" w:line="276" w:lineRule="auto"/>
        <w:rPr>
          <w:b/>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3745EA">
        <w:rPr>
          <w:b/>
        </w:rPr>
        <w:t xml:space="preserve">Price stability or yield? </w:t>
      </w:r>
      <w:r w:rsidR="005B0C0E">
        <w:rPr>
          <w:b/>
        </w:rPr>
        <w:t>Here’s b</w:t>
      </w:r>
      <w:r w:rsidR="003745EA">
        <w:rPr>
          <w:b/>
        </w:rPr>
        <w:t>oth</w:t>
      </w:r>
    </w:p>
    <w:p w14:paraId="5A16D19A" w14:textId="296FD412" w:rsidR="00322C2C" w:rsidRPr="00322C2C" w:rsidRDefault="009C7D32" w:rsidP="00322C2C">
      <w:pPr>
        <w:tabs>
          <w:tab w:val="left" w:pos="540"/>
        </w:tabs>
        <w:spacing w:after="240" w:line="276" w:lineRule="auto"/>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322C2C" w:rsidRPr="00322C2C">
        <w:t>Cash-management instruments have relative value today</w:t>
      </w:r>
      <w:r w:rsidR="00376908">
        <w:t>.</w:t>
      </w:r>
    </w:p>
    <w:p w14:paraId="3D76A72A" w14:textId="7424608F" w:rsidR="002D72FA" w:rsidRPr="0083104C" w:rsidRDefault="002D72FA" w:rsidP="0083104C">
      <w:pPr>
        <w:tabs>
          <w:tab w:val="left" w:pos="540"/>
        </w:tabs>
        <w:spacing w:after="240" w:line="276" w:lineRule="auto"/>
        <w:rPr>
          <w:rStyle w:val="ICBAbold"/>
          <w:b w:val="0"/>
          <w:color w:val="FF0000"/>
        </w:rPr>
      </w:pPr>
      <w:r w:rsidRPr="003D49D5">
        <w:rPr>
          <w:rStyle w:val="ICBAbold"/>
          <w:b w:val="0"/>
          <w:color w:val="FF0000"/>
        </w:rPr>
        <w:t>[byline]</w:t>
      </w:r>
      <w:r w:rsidR="0083104C">
        <w:rPr>
          <w:rStyle w:val="ICBAbold"/>
          <w:b w:val="0"/>
          <w:color w:val="FF0000"/>
        </w:rPr>
        <w:t xml:space="preserve"> </w:t>
      </w:r>
      <w:r w:rsidR="003D49D5">
        <w:rPr>
          <w:rStyle w:val="ICBAbold"/>
          <w:b w:val="0"/>
        </w:rPr>
        <w:t xml:space="preserve">By Jim </w:t>
      </w:r>
      <w:proofErr w:type="spellStart"/>
      <w:r w:rsidR="003D49D5">
        <w:rPr>
          <w:rStyle w:val="ICBAbold"/>
          <w:b w:val="0"/>
        </w:rPr>
        <w:t>Reber</w:t>
      </w:r>
      <w:proofErr w:type="spellEnd"/>
      <w:r w:rsidR="003D49D5">
        <w:rPr>
          <w:rStyle w:val="ICBAbold"/>
          <w:b w:val="0"/>
        </w:rPr>
        <w:t>, ICBA Securities</w:t>
      </w:r>
    </w:p>
    <w:p w14:paraId="0BF7DA84" w14:textId="010C9CF5" w:rsidR="009C7D32" w:rsidRDefault="009C7D32" w:rsidP="0083104C">
      <w:pPr>
        <w:tabs>
          <w:tab w:val="left" w:pos="540"/>
        </w:tabs>
        <w:spacing w:after="240" w:line="276" w:lineRule="auto"/>
        <w:rPr>
          <w:rStyle w:val="ICBAbold"/>
          <w:b w:val="0"/>
          <w:color w:val="FF0000"/>
        </w:rPr>
      </w:pPr>
      <w:r w:rsidRPr="003D49D5">
        <w:rPr>
          <w:rStyle w:val="ICBAbold"/>
          <w:b w:val="0"/>
          <w:color w:val="FF0000"/>
        </w:rPr>
        <w:t>[body]</w:t>
      </w:r>
    </w:p>
    <w:p w14:paraId="519C0BFD" w14:textId="77777777" w:rsidR="00322C2C" w:rsidRPr="00322C2C" w:rsidRDefault="00322C2C" w:rsidP="00322C2C">
      <w:pPr>
        <w:tabs>
          <w:tab w:val="left" w:pos="540"/>
        </w:tabs>
        <w:spacing w:after="240" w:line="360" w:lineRule="auto"/>
        <w:rPr>
          <w:color w:val="000000" w:themeColor="text1"/>
        </w:rPr>
      </w:pPr>
      <w:r w:rsidRPr="00322C2C">
        <w:rPr>
          <w:color w:val="000000" w:themeColor="text1"/>
        </w:rPr>
        <w:t>“What if?” How many times and how many ways has a conversation like this begun with a community banker?</w:t>
      </w:r>
    </w:p>
    <w:p w14:paraId="06016574" w14:textId="0CB94059" w:rsidR="00322C2C" w:rsidRPr="00322C2C" w:rsidRDefault="00322C2C" w:rsidP="00322C2C">
      <w:pPr>
        <w:tabs>
          <w:tab w:val="left" w:pos="540"/>
        </w:tabs>
        <w:spacing w:after="240" w:line="360" w:lineRule="auto"/>
        <w:rPr>
          <w:color w:val="000000" w:themeColor="text1"/>
        </w:rPr>
      </w:pPr>
      <w:r w:rsidRPr="00322C2C">
        <w:rPr>
          <w:b/>
          <w:color w:val="000000" w:themeColor="text1"/>
        </w:rPr>
        <w:t>Borrower:</w:t>
      </w:r>
      <w:r w:rsidRPr="00322C2C">
        <w:rPr>
          <w:color w:val="000000" w:themeColor="text1"/>
        </w:rPr>
        <w:t xml:space="preserve"> What if you hold the title on my </w:t>
      </w:r>
      <w:r>
        <w:rPr>
          <w:color w:val="000000" w:themeColor="text1"/>
        </w:rPr>
        <w:t>1979 Ford Pinto</w:t>
      </w:r>
      <w:r w:rsidRPr="00322C2C">
        <w:rPr>
          <w:color w:val="000000" w:themeColor="text1"/>
        </w:rPr>
        <w:t xml:space="preserve"> as additional collateral?</w:t>
      </w:r>
    </w:p>
    <w:p w14:paraId="06B096E9" w14:textId="0BE76F62" w:rsidR="00322C2C" w:rsidRPr="00322C2C" w:rsidRDefault="00322C2C" w:rsidP="00322C2C">
      <w:pPr>
        <w:tabs>
          <w:tab w:val="left" w:pos="540"/>
        </w:tabs>
        <w:spacing w:after="240" w:line="360" w:lineRule="auto"/>
        <w:rPr>
          <w:color w:val="000000" w:themeColor="text1"/>
        </w:rPr>
      </w:pPr>
      <w:r w:rsidRPr="00322C2C">
        <w:rPr>
          <w:b/>
          <w:color w:val="000000" w:themeColor="text1"/>
        </w:rPr>
        <w:t>Auditor:</w:t>
      </w:r>
      <w:r w:rsidRPr="00322C2C">
        <w:rPr>
          <w:color w:val="000000" w:themeColor="text1"/>
        </w:rPr>
        <w:t xml:space="preserve"> What if your </w:t>
      </w:r>
      <w:r w:rsidR="00FD4282">
        <w:rPr>
          <w:color w:val="000000" w:themeColor="text1"/>
        </w:rPr>
        <w:t>h</w:t>
      </w:r>
      <w:r w:rsidRPr="00322C2C">
        <w:rPr>
          <w:color w:val="000000" w:themeColor="text1"/>
        </w:rPr>
        <w:t>eld-to-</w:t>
      </w:r>
      <w:r w:rsidR="00FD4282">
        <w:rPr>
          <w:color w:val="000000" w:themeColor="text1"/>
        </w:rPr>
        <w:t>m</w:t>
      </w:r>
      <w:r w:rsidRPr="00322C2C">
        <w:rPr>
          <w:color w:val="000000" w:themeColor="text1"/>
        </w:rPr>
        <w:t>aturity bonds go further underwater?</w:t>
      </w:r>
    </w:p>
    <w:p w14:paraId="3F9A1CF2" w14:textId="48A8AD29" w:rsidR="00322C2C" w:rsidRPr="00322C2C" w:rsidRDefault="00322C2C" w:rsidP="00322C2C">
      <w:pPr>
        <w:tabs>
          <w:tab w:val="left" w:pos="540"/>
        </w:tabs>
        <w:spacing w:after="240" w:line="360" w:lineRule="auto"/>
        <w:rPr>
          <w:color w:val="000000" w:themeColor="text1"/>
        </w:rPr>
      </w:pPr>
      <w:r w:rsidRPr="00322C2C">
        <w:rPr>
          <w:b/>
          <w:color w:val="000000" w:themeColor="text1"/>
        </w:rPr>
        <w:t>L</w:t>
      </w:r>
      <w:r w:rsidR="00D21B9F">
        <w:rPr>
          <w:b/>
          <w:color w:val="000000" w:themeColor="text1"/>
        </w:rPr>
        <w:t>oan officer</w:t>
      </w:r>
      <w:r w:rsidRPr="00322C2C">
        <w:rPr>
          <w:b/>
          <w:color w:val="000000" w:themeColor="text1"/>
        </w:rPr>
        <w:t>:</w:t>
      </w:r>
      <w:r w:rsidRPr="00322C2C">
        <w:rPr>
          <w:color w:val="000000" w:themeColor="text1"/>
        </w:rPr>
        <w:t xml:space="preserve"> What if we put a </w:t>
      </w:r>
      <w:r w:rsidR="00FD4282">
        <w:rPr>
          <w:color w:val="000000" w:themeColor="text1"/>
        </w:rPr>
        <w:t>6%</w:t>
      </w:r>
      <w:r w:rsidRPr="00322C2C">
        <w:rPr>
          <w:color w:val="000000" w:themeColor="text1"/>
        </w:rPr>
        <w:t xml:space="preserve"> cap on this floater?</w:t>
      </w:r>
    </w:p>
    <w:p w14:paraId="16554184" w14:textId="24A8A475" w:rsidR="00322C2C" w:rsidRDefault="00E757C9" w:rsidP="00322C2C">
      <w:pPr>
        <w:tabs>
          <w:tab w:val="left" w:pos="540"/>
        </w:tabs>
        <w:spacing w:after="240" w:line="360" w:lineRule="auto"/>
        <w:rPr>
          <w:color w:val="000000" w:themeColor="text1"/>
        </w:rPr>
      </w:pPr>
      <w:r>
        <w:rPr>
          <w:b/>
          <w:color w:val="000000" w:themeColor="text1"/>
        </w:rPr>
        <w:t>Stockholder</w:t>
      </w:r>
      <w:r w:rsidR="00322C2C" w:rsidRPr="00322C2C">
        <w:rPr>
          <w:b/>
          <w:color w:val="000000" w:themeColor="text1"/>
        </w:rPr>
        <w:t>:</w:t>
      </w:r>
      <w:r w:rsidR="00322C2C" w:rsidRPr="00322C2C">
        <w:rPr>
          <w:color w:val="000000" w:themeColor="text1"/>
        </w:rPr>
        <w:t xml:space="preserve"> What if you bought my 25 shares at three times book?</w:t>
      </w:r>
    </w:p>
    <w:p w14:paraId="56D1C690" w14:textId="1D9F9E83" w:rsidR="008F05EA" w:rsidRDefault="008F05EA" w:rsidP="008F05EA">
      <w:pPr>
        <w:tabs>
          <w:tab w:val="left" w:pos="540"/>
        </w:tabs>
        <w:spacing w:after="240" w:line="360" w:lineRule="auto"/>
        <w:rPr>
          <w:color w:val="000000" w:themeColor="text1"/>
        </w:rPr>
      </w:pPr>
      <w:r w:rsidRPr="00322C2C">
        <w:rPr>
          <w:b/>
          <w:color w:val="000000" w:themeColor="text1"/>
        </w:rPr>
        <w:t>Depositor:</w:t>
      </w:r>
      <w:r w:rsidRPr="00322C2C">
        <w:rPr>
          <w:color w:val="000000" w:themeColor="text1"/>
        </w:rPr>
        <w:t xml:space="preserve"> What if you pay me an extra five basis points on my $5,000 CD?</w:t>
      </w:r>
    </w:p>
    <w:p w14:paraId="42A99BB4" w14:textId="46A22665" w:rsidR="00A203A6" w:rsidRPr="00322C2C" w:rsidRDefault="00A203A6" w:rsidP="00A203A6">
      <w:pPr>
        <w:tabs>
          <w:tab w:val="left" w:pos="540"/>
        </w:tabs>
        <w:spacing w:after="240" w:line="360" w:lineRule="auto"/>
        <w:rPr>
          <w:color w:val="000000" w:themeColor="text1"/>
        </w:rPr>
      </w:pPr>
      <w:r w:rsidRPr="00322C2C">
        <w:rPr>
          <w:b/>
          <w:color w:val="000000" w:themeColor="text1"/>
        </w:rPr>
        <w:t>Examiner:</w:t>
      </w:r>
      <w:r w:rsidRPr="00322C2C">
        <w:rPr>
          <w:color w:val="000000" w:themeColor="text1"/>
        </w:rPr>
        <w:t xml:space="preserve"> What if </w:t>
      </w:r>
      <w:r w:rsidR="00FD4282">
        <w:rPr>
          <w:color w:val="000000" w:themeColor="text1"/>
        </w:rPr>
        <w:t xml:space="preserve">the </w:t>
      </w:r>
      <w:r>
        <w:rPr>
          <w:color w:val="000000" w:themeColor="text1"/>
        </w:rPr>
        <w:t>Treasury defaults on its</w:t>
      </w:r>
      <w:r w:rsidRPr="00322C2C">
        <w:rPr>
          <w:color w:val="000000" w:themeColor="text1"/>
        </w:rPr>
        <w:t xml:space="preserve"> debt?</w:t>
      </w:r>
    </w:p>
    <w:p w14:paraId="3FFC7270" w14:textId="28F51004" w:rsidR="00322C2C" w:rsidRPr="00322C2C" w:rsidRDefault="00322C2C" w:rsidP="00322C2C">
      <w:pPr>
        <w:tabs>
          <w:tab w:val="left" w:pos="540"/>
        </w:tabs>
        <w:spacing w:after="240" w:line="360" w:lineRule="auto"/>
        <w:rPr>
          <w:color w:val="000000" w:themeColor="text1"/>
        </w:rPr>
      </w:pPr>
      <w:r w:rsidRPr="00322C2C">
        <w:rPr>
          <w:color w:val="000000" w:themeColor="text1"/>
        </w:rPr>
        <w:t>What if you could purchase a full faith and credit instrument that pays monthly principal and interest, adjusts</w:t>
      </w:r>
      <w:r w:rsidR="00A203A6">
        <w:rPr>
          <w:color w:val="000000" w:themeColor="text1"/>
        </w:rPr>
        <w:t xml:space="preserve"> each quarter</w:t>
      </w:r>
      <w:r w:rsidRPr="00322C2C">
        <w:rPr>
          <w:color w:val="000000" w:themeColor="text1"/>
        </w:rPr>
        <w:t xml:space="preserve"> based on </w:t>
      </w:r>
      <w:r w:rsidR="009F5663">
        <w:rPr>
          <w:color w:val="000000" w:themeColor="text1"/>
        </w:rPr>
        <w:t>p</w:t>
      </w:r>
      <w:r w:rsidRPr="00322C2C">
        <w:rPr>
          <w:color w:val="000000" w:themeColor="text1"/>
        </w:rPr>
        <w:t xml:space="preserve">rime with no caps, has little or no prepayment risk and out-yields the </w:t>
      </w:r>
      <w:r w:rsidR="009F5663">
        <w:rPr>
          <w:color w:val="000000" w:themeColor="text1"/>
        </w:rPr>
        <w:t>10</w:t>
      </w:r>
      <w:r w:rsidRPr="00322C2C">
        <w:rPr>
          <w:color w:val="000000" w:themeColor="text1"/>
        </w:rPr>
        <w:t>-year Treasury</w:t>
      </w:r>
      <w:r w:rsidR="00BB4C78">
        <w:rPr>
          <w:color w:val="000000" w:themeColor="text1"/>
        </w:rPr>
        <w:t xml:space="preserve"> by 1</w:t>
      </w:r>
      <w:r w:rsidR="008F05EA">
        <w:rPr>
          <w:color w:val="000000" w:themeColor="text1"/>
        </w:rPr>
        <w:t>0</w:t>
      </w:r>
      <w:r w:rsidR="00BB4C78">
        <w:rPr>
          <w:color w:val="000000" w:themeColor="text1"/>
        </w:rPr>
        <w:t>0 basis points (1.</w:t>
      </w:r>
      <w:r w:rsidR="008F05EA">
        <w:rPr>
          <w:color w:val="000000" w:themeColor="text1"/>
        </w:rPr>
        <w:t>0</w:t>
      </w:r>
      <w:r w:rsidR="00BB4C78">
        <w:rPr>
          <w:color w:val="000000" w:themeColor="text1"/>
        </w:rPr>
        <w:t>%)</w:t>
      </w:r>
      <w:r w:rsidRPr="00322C2C">
        <w:rPr>
          <w:color w:val="000000" w:themeColor="text1"/>
        </w:rPr>
        <w:t>?</w:t>
      </w:r>
    </w:p>
    <w:p w14:paraId="52BEFE11" w14:textId="77777777" w:rsidR="00322C2C" w:rsidRPr="00322C2C" w:rsidRDefault="00322C2C" w:rsidP="00322C2C">
      <w:pPr>
        <w:tabs>
          <w:tab w:val="left" w:pos="540"/>
        </w:tabs>
        <w:spacing w:after="240" w:line="360" w:lineRule="auto"/>
        <w:rPr>
          <w:color w:val="000000" w:themeColor="text1"/>
        </w:rPr>
      </w:pPr>
    </w:p>
    <w:p w14:paraId="0425A1AE" w14:textId="5C743042" w:rsidR="00322C2C" w:rsidRPr="00322C2C" w:rsidRDefault="00FD4282" w:rsidP="00322C2C">
      <w:pPr>
        <w:tabs>
          <w:tab w:val="left" w:pos="540"/>
        </w:tabs>
        <w:spacing w:after="240" w:line="360" w:lineRule="auto"/>
        <w:rPr>
          <w:b/>
          <w:color w:val="000000" w:themeColor="text1"/>
        </w:rPr>
      </w:pPr>
      <w:r>
        <w:rPr>
          <w:b/>
          <w:color w:val="000000" w:themeColor="text1"/>
        </w:rPr>
        <w:t>[</w:t>
      </w:r>
      <w:proofErr w:type="spellStart"/>
      <w:r>
        <w:rPr>
          <w:b/>
          <w:color w:val="000000" w:themeColor="text1"/>
        </w:rPr>
        <w:t>subhed</w:t>
      </w:r>
      <w:proofErr w:type="spellEnd"/>
      <w:r>
        <w:rPr>
          <w:b/>
          <w:color w:val="000000" w:themeColor="text1"/>
        </w:rPr>
        <w:t xml:space="preserve">] </w:t>
      </w:r>
      <w:r w:rsidR="009F5663">
        <w:rPr>
          <w:b/>
          <w:color w:val="000000" w:themeColor="text1"/>
        </w:rPr>
        <w:t>7(a) loans: h</w:t>
      </w:r>
      <w:r w:rsidR="00322C2C" w:rsidRPr="00322C2C">
        <w:rPr>
          <w:b/>
          <w:color w:val="000000" w:themeColor="text1"/>
        </w:rPr>
        <w:t>ighly valued</w:t>
      </w:r>
    </w:p>
    <w:p w14:paraId="32B838F9" w14:textId="5103BF2E"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All of the above qualities currently exist in a Small Business Administration (SBA) 7(a) loan pool. These have long been the choice of investors looking for additional yield on the very shortest end of the maturity spectrum. Most 7(a) pools adjust with the calendar quarter, although </w:t>
      </w:r>
      <w:r w:rsidRPr="00322C2C">
        <w:rPr>
          <w:color w:val="000000" w:themeColor="text1"/>
        </w:rPr>
        <w:lastRenderedPageBreak/>
        <w:t xml:space="preserve">there are some monthly adjusters available. </w:t>
      </w:r>
      <w:r w:rsidR="00BB4C78">
        <w:rPr>
          <w:color w:val="000000" w:themeColor="text1"/>
        </w:rPr>
        <w:t xml:space="preserve">They also have </w:t>
      </w:r>
      <w:r w:rsidRPr="00322C2C">
        <w:rPr>
          <w:color w:val="000000" w:themeColor="text1"/>
        </w:rPr>
        <w:t>no rate caps, either periodic or lifetime</w:t>
      </w:r>
      <w:r w:rsidR="00BB4C78">
        <w:rPr>
          <w:color w:val="000000" w:themeColor="text1"/>
        </w:rPr>
        <w:t>, so when we endure a year like 2022 when fed funds rose 425 basis points (4.25%), these floaters went up lockstep.</w:t>
      </w:r>
      <w:r w:rsidRPr="00322C2C">
        <w:rPr>
          <w:color w:val="000000" w:themeColor="text1"/>
        </w:rPr>
        <w:t xml:space="preserve"> All these factors make SBA securities the most rate-sensitive of any in the market. </w:t>
      </w:r>
    </w:p>
    <w:p w14:paraId="09757BB3" w14:textId="2E1E90A3" w:rsidR="00322C2C" w:rsidRPr="00322C2C" w:rsidRDefault="00322C2C" w:rsidP="00322C2C">
      <w:pPr>
        <w:tabs>
          <w:tab w:val="left" w:pos="540"/>
        </w:tabs>
        <w:spacing w:after="240" w:line="360" w:lineRule="auto"/>
        <w:rPr>
          <w:color w:val="000000" w:themeColor="text1"/>
        </w:rPr>
      </w:pPr>
      <w:r w:rsidRPr="00322C2C">
        <w:rPr>
          <w:color w:val="000000" w:themeColor="text1"/>
        </w:rPr>
        <w:t>There has been a lucrative two-way market for SBA pools for at least 30 years. Community bank lenders like the ability to make loans to qualifying borrowers that don’t quite fit the standard parameters. They also like the ability to sell the guaranteed portions of the loans (usually 75</w:t>
      </w:r>
      <w:r w:rsidR="00FD4282">
        <w:rPr>
          <w:color w:val="000000" w:themeColor="text1"/>
        </w:rPr>
        <w:t>%</w:t>
      </w:r>
      <w:proofErr w:type="gramStart"/>
      <w:r w:rsidRPr="00322C2C">
        <w:rPr>
          <w:color w:val="000000" w:themeColor="text1"/>
        </w:rPr>
        <w:t>), and</w:t>
      </w:r>
      <w:proofErr w:type="gramEnd"/>
      <w:r w:rsidRPr="00322C2C">
        <w:rPr>
          <w:color w:val="000000" w:themeColor="text1"/>
        </w:rPr>
        <w:t xml:space="preserve"> retain the servicing and the relationship. And they especially like selling them at big premiums. </w:t>
      </w:r>
      <w:r w:rsidR="007C0B98">
        <w:rPr>
          <w:color w:val="000000" w:themeColor="text1"/>
        </w:rPr>
        <w:t>At the start of 2023</w:t>
      </w:r>
      <w:r w:rsidRPr="00322C2C">
        <w:rPr>
          <w:color w:val="000000" w:themeColor="text1"/>
        </w:rPr>
        <w:t>, the balance on outstanding 7(a) pools was over $3</w:t>
      </w:r>
      <w:r w:rsidR="007C0B98">
        <w:rPr>
          <w:color w:val="000000" w:themeColor="text1"/>
        </w:rPr>
        <w:t>8</w:t>
      </w:r>
      <w:r w:rsidRPr="00322C2C">
        <w:rPr>
          <w:color w:val="000000" w:themeColor="text1"/>
        </w:rPr>
        <w:t xml:space="preserve"> billion, which was a high water mark for the agency. </w:t>
      </w:r>
      <w:r w:rsidR="00290DED">
        <w:rPr>
          <w:color w:val="000000" w:themeColor="text1"/>
        </w:rPr>
        <w:t xml:space="preserve">Around </w:t>
      </w:r>
      <w:r w:rsidR="00AF1846">
        <w:rPr>
          <w:color w:val="000000" w:themeColor="text1"/>
        </w:rPr>
        <w:t>four</w:t>
      </w:r>
      <w:r w:rsidRPr="00322C2C">
        <w:rPr>
          <w:color w:val="000000" w:themeColor="text1"/>
        </w:rPr>
        <w:t xml:space="preserve"> out of </w:t>
      </w:r>
      <w:r w:rsidR="00FD4282">
        <w:rPr>
          <w:color w:val="000000" w:themeColor="text1"/>
        </w:rPr>
        <w:t>10</w:t>
      </w:r>
      <w:r w:rsidR="00AF1846">
        <w:rPr>
          <w:color w:val="000000" w:themeColor="text1"/>
        </w:rPr>
        <w:t xml:space="preserve"> loans originated are sold into </w:t>
      </w:r>
      <w:r w:rsidRPr="00322C2C">
        <w:rPr>
          <w:color w:val="000000" w:themeColor="text1"/>
        </w:rPr>
        <w:t xml:space="preserve">the secondary market, to a </w:t>
      </w:r>
      <w:r w:rsidR="00AF1846">
        <w:rPr>
          <w:color w:val="000000" w:themeColor="text1"/>
        </w:rPr>
        <w:t>variety</w:t>
      </w:r>
      <w:r w:rsidRPr="00322C2C">
        <w:rPr>
          <w:color w:val="000000" w:themeColor="text1"/>
        </w:rPr>
        <w:t xml:space="preserve"> of SBA poolers. </w:t>
      </w:r>
    </w:p>
    <w:p w14:paraId="7B17410A" w14:textId="77777777" w:rsidR="00322C2C" w:rsidRPr="00322C2C" w:rsidRDefault="00322C2C" w:rsidP="00322C2C">
      <w:pPr>
        <w:tabs>
          <w:tab w:val="left" w:pos="540"/>
        </w:tabs>
        <w:spacing w:after="240" w:line="360" w:lineRule="auto"/>
        <w:rPr>
          <w:color w:val="000000" w:themeColor="text1"/>
        </w:rPr>
      </w:pPr>
    </w:p>
    <w:p w14:paraId="4627139E" w14:textId="516DD839" w:rsidR="00322C2C" w:rsidRPr="00322C2C" w:rsidRDefault="00FD4282" w:rsidP="00322C2C">
      <w:pPr>
        <w:tabs>
          <w:tab w:val="left" w:pos="540"/>
        </w:tabs>
        <w:spacing w:after="240" w:line="360" w:lineRule="auto"/>
        <w:rPr>
          <w:b/>
          <w:color w:val="000000" w:themeColor="text1"/>
        </w:rPr>
      </w:pPr>
      <w:r>
        <w:rPr>
          <w:b/>
          <w:color w:val="000000" w:themeColor="text1"/>
        </w:rPr>
        <w:t>[</w:t>
      </w:r>
      <w:proofErr w:type="spellStart"/>
      <w:r>
        <w:rPr>
          <w:b/>
          <w:color w:val="000000" w:themeColor="text1"/>
        </w:rPr>
        <w:t>subhed</w:t>
      </w:r>
      <w:proofErr w:type="spellEnd"/>
      <w:r>
        <w:rPr>
          <w:b/>
          <w:color w:val="000000" w:themeColor="text1"/>
        </w:rPr>
        <w:t xml:space="preserve">] </w:t>
      </w:r>
      <w:r w:rsidR="00322C2C" w:rsidRPr="00322C2C">
        <w:rPr>
          <w:b/>
          <w:color w:val="000000" w:themeColor="text1"/>
        </w:rPr>
        <w:t>Response to demand</w:t>
      </w:r>
    </w:p>
    <w:p w14:paraId="64287F52" w14:textId="2F23F403"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To a community bank investor, the rub with the pools has historically been the high purchase prices. </w:t>
      </w:r>
      <w:r w:rsidR="008F05EA">
        <w:rPr>
          <w:color w:val="000000" w:themeColor="text1"/>
        </w:rPr>
        <w:t xml:space="preserve">Risk-averse portfolio managers </w:t>
      </w:r>
      <w:r w:rsidR="00C77CCB">
        <w:rPr>
          <w:color w:val="000000" w:themeColor="text1"/>
        </w:rPr>
        <w:t>covet</w:t>
      </w:r>
      <w:r w:rsidR="008F05EA">
        <w:rPr>
          <w:color w:val="000000" w:themeColor="text1"/>
        </w:rPr>
        <w:t xml:space="preserve"> a</w:t>
      </w:r>
      <w:r w:rsidRPr="00322C2C">
        <w:rPr>
          <w:color w:val="000000" w:themeColor="text1"/>
        </w:rPr>
        <w:t>ll of the characteristics</w:t>
      </w:r>
      <w:r w:rsidR="008F05EA">
        <w:rPr>
          <w:color w:val="000000" w:themeColor="text1"/>
        </w:rPr>
        <w:t xml:space="preserve"> of a 7(a) pool</w:t>
      </w:r>
      <w:r w:rsidRPr="00322C2C">
        <w:rPr>
          <w:color w:val="000000" w:themeColor="text1"/>
        </w:rPr>
        <w:t>, except for the premium</w:t>
      </w:r>
      <w:r w:rsidR="00290DED">
        <w:rPr>
          <w:color w:val="000000" w:themeColor="text1"/>
        </w:rPr>
        <w:t>s</w:t>
      </w:r>
      <w:r w:rsidRPr="00322C2C">
        <w:rPr>
          <w:color w:val="000000" w:themeColor="text1"/>
        </w:rPr>
        <w:t>. While there are ways to manage those prepayment exposures, there’s no getting around the fact that an instrument that costs 110 cents on the dollar or more</w:t>
      </w:r>
      <w:r w:rsidR="009F5663">
        <w:rPr>
          <w:color w:val="000000" w:themeColor="text1"/>
        </w:rPr>
        <w:t>,</w:t>
      </w:r>
      <w:r w:rsidR="008F05EA">
        <w:rPr>
          <w:color w:val="000000" w:themeColor="text1"/>
        </w:rPr>
        <w:t xml:space="preserve"> that</w:t>
      </w:r>
      <w:r w:rsidRPr="00322C2C">
        <w:rPr>
          <w:color w:val="000000" w:themeColor="text1"/>
        </w:rPr>
        <w:t xml:space="preserve"> can prepay </w:t>
      </w:r>
      <w:r w:rsidR="00C77CCB">
        <w:rPr>
          <w:color w:val="000000" w:themeColor="text1"/>
        </w:rPr>
        <w:t>at any time</w:t>
      </w:r>
      <w:r w:rsidR="009F5663">
        <w:rPr>
          <w:color w:val="000000" w:themeColor="text1"/>
        </w:rPr>
        <w:t>,</w:t>
      </w:r>
      <w:r w:rsidRPr="00322C2C">
        <w:rPr>
          <w:color w:val="000000" w:themeColor="text1"/>
        </w:rPr>
        <w:t xml:space="preserve"> contains risk. </w:t>
      </w:r>
    </w:p>
    <w:p w14:paraId="7A2F72D6" w14:textId="17F39B82"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In response, there are SBA securities being issued and available at prices very near par. As part of the pooling process, certain amounts of the loan rates can be stripped off for alternative uses, leaving just enough coupon pass-through on a given bond to result in a market price between, say, 99.50 and 100.50. </w:t>
      </w:r>
    </w:p>
    <w:p w14:paraId="09557907" w14:textId="77777777" w:rsidR="00322C2C" w:rsidRPr="00322C2C" w:rsidRDefault="00322C2C" w:rsidP="00322C2C">
      <w:pPr>
        <w:tabs>
          <w:tab w:val="left" w:pos="540"/>
        </w:tabs>
        <w:spacing w:after="240" w:line="360" w:lineRule="auto"/>
        <w:rPr>
          <w:color w:val="000000" w:themeColor="text1"/>
        </w:rPr>
      </w:pPr>
    </w:p>
    <w:p w14:paraId="2F10B52C" w14:textId="7FA641AF" w:rsidR="00322C2C" w:rsidRPr="00322C2C" w:rsidRDefault="00FD4282" w:rsidP="00322C2C">
      <w:pPr>
        <w:tabs>
          <w:tab w:val="left" w:pos="540"/>
        </w:tabs>
        <w:spacing w:after="240" w:line="360" w:lineRule="auto"/>
        <w:rPr>
          <w:b/>
          <w:color w:val="000000" w:themeColor="text1"/>
        </w:rPr>
      </w:pPr>
      <w:r>
        <w:rPr>
          <w:b/>
          <w:color w:val="000000" w:themeColor="text1"/>
        </w:rPr>
        <w:t>[</w:t>
      </w:r>
      <w:proofErr w:type="spellStart"/>
      <w:r>
        <w:rPr>
          <w:b/>
          <w:color w:val="000000" w:themeColor="text1"/>
        </w:rPr>
        <w:t>subhed</w:t>
      </w:r>
      <w:proofErr w:type="spellEnd"/>
      <w:r>
        <w:rPr>
          <w:b/>
          <w:color w:val="000000" w:themeColor="text1"/>
        </w:rPr>
        <w:t xml:space="preserve">] </w:t>
      </w:r>
      <w:r w:rsidR="00AF1846">
        <w:rPr>
          <w:b/>
          <w:color w:val="000000" w:themeColor="text1"/>
        </w:rPr>
        <w:t>P</w:t>
      </w:r>
      <w:r w:rsidR="00322C2C" w:rsidRPr="00322C2C">
        <w:rPr>
          <w:b/>
          <w:color w:val="000000" w:themeColor="text1"/>
        </w:rPr>
        <w:t>rice stability</w:t>
      </w:r>
    </w:p>
    <w:p w14:paraId="2F03123B" w14:textId="622DF7D7"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You may have heard that the yield curve is </w:t>
      </w:r>
      <w:r w:rsidR="008F05EA">
        <w:rPr>
          <w:color w:val="000000" w:themeColor="text1"/>
        </w:rPr>
        <w:t>inverted</w:t>
      </w:r>
      <w:r w:rsidRPr="00322C2C">
        <w:rPr>
          <w:color w:val="000000" w:themeColor="text1"/>
        </w:rPr>
        <w:t>.</w:t>
      </w:r>
      <w:r w:rsidR="008F05EA">
        <w:rPr>
          <w:color w:val="000000" w:themeColor="text1"/>
        </w:rPr>
        <w:t xml:space="preserve"> (It’s not exactly news—it’s been that way since last Ju</w:t>
      </w:r>
      <w:r w:rsidR="00C77CCB">
        <w:rPr>
          <w:color w:val="000000" w:themeColor="text1"/>
        </w:rPr>
        <w:t>ne</w:t>
      </w:r>
      <w:r w:rsidR="008F05EA">
        <w:rPr>
          <w:color w:val="000000" w:themeColor="text1"/>
        </w:rPr>
        <w:t>.)</w:t>
      </w:r>
      <w:r w:rsidRPr="00322C2C">
        <w:rPr>
          <w:color w:val="000000" w:themeColor="text1"/>
        </w:rPr>
        <w:t xml:space="preserve"> </w:t>
      </w:r>
      <w:r w:rsidR="00AF1846">
        <w:rPr>
          <w:color w:val="000000" w:themeColor="text1"/>
        </w:rPr>
        <w:t>This is a concrete example of</w:t>
      </w:r>
      <w:r w:rsidRPr="00322C2C">
        <w:rPr>
          <w:color w:val="000000" w:themeColor="text1"/>
        </w:rPr>
        <w:t xml:space="preserve"> the good news/bad news environment in which community banks invest. The positive is that short-term bonds yield </w:t>
      </w:r>
      <w:r w:rsidR="008F05EA">
        <w:rPr>
          <w:color w:val="000000" w:themeColor="text1"/>
        </w:rPr>
        <w:t>out-yield</w:t>
      </w:r>
      <w:r w:rsidRPr="00322C2C">
        <w:rPr>
          <w:color w:val="000000" w:themeColor="text1"/>
        </w:rPr>
        <w:t xml:space="preserve"> longer-term bonds, </w:t>
      </w:r>
      <w:r w:rsidRPr="00322C2C">
        <w:rPr>
          <w:color w:val="000000" w:themeColor="text1"/>
        </w:rPr>
        <w:lastRenderedPageBreak/>
        <w:t>so today you don’t have to extend your maturities for reasonable returns. The negative is that a</w:t>
      </w:r>
      <w:r w:rsidR="008F05EA">
        <w:rPr>
          <w:color w:val="000000" w:themeColor="text1"/>
        </w:rPr>
        <w:t>n</w:t>
      </w:r>
      <w:r w:rsidRPr="00322C2C">
        <w:rPr>
          <w:color w:val="000000" w:themeColor="text1"/>
        </w:rPr>
        <w:t xml:space="preserve"> </w:t>
      </w:r>
      <w:r w:rsidR="008F05EA">
        <w:rPr>
          <w:color w:val="000000" w:themeColor="text1"/>
        </w:rPr>
        <w:t>inverted</w:t>
      </w:r>
      <w:r w:rsidRPr="00322C2C">
        <w:rPr>
          <w:color w:val="000000" w:themeColor="text1"/>
        </w:rPr>
        <w:t xml:space="preserve"> curve is usually followed by a secular drop in rates, </w:t>
      </w:r>
      <w:r w:rsidR="008F05EA">
        <w:rPr>
          <w:color w:val="000000" w:themeColor="text1"/>
        </w:rPr>
        <w:t>especially</w:t>
      </w:r>
      <w:r w:rsidRPr="00322C2C">
        <w:rPr>
          <w:color w:val="000000" w:themeColor="text1"/>
        </w:rPr>
        <w:t xml:space="preserve"> on the short end. True floaters, like SBA 7(a)s, will be the first to see their yields fall.</w:t>
      </w:r>
    </w:p>
    <w:p w14:paraId="44A44D1A" w14:textId="37335D18" w:rsidR="00322C2C" w:rsidRPr="00322C2C" w:rsidRDefault="00AF1846" w:rsidP="00322C2C">
      <w:pPr>
        <w:tabs>
          <w:tab w:val="left" w:pos="540"/>
        </w:tabs>
        <w:spacing w:after="240" w:line="360" w:lineRule="auto"/>
        <w:rPr>
          <w:color w:val="000000" w:themeColor="text1"/>
        </w:rPr>
      </w:pPr>
      <w:r>
        <w:rPr>
          <w:color w:val="000000" w:themeColor="text1"/>
        </w:rPr>
        <w:t>However</w:t>
      </w:r>
      <w:r w:rsidR="00322C2C" w:rsidRPr="00322C2C">
        <w:rPr>
          <w:color w:val="000000" w:themeColor="text1"/>
        </w:rPr>
        <w:t xml:space="preserve">, it’s totally uncertain that any rate-cutting will happen </w:t>
      </w:r>
      <w:proofErr w:type="gramStart"/>
      <w:r w:rsidR="00322C2C" w:rsidRPr="00322C2C">
        <w:rPr>
          <w:color w:val="000000" w:themeColor="text1"/>
        </w:rPr>
        <w:t>in the near future</w:t>
      </w:r>
      <w:proofErr w:type="gramEnd"/>
      <w:r w:rsidR="00322C2C" w:rsidRPr="00322C2C">
        <w:rPr>
          <w:color w:val="000000" w:themeColor="text1"/>
        </w:rPr>
        <w:t xml:space="preserve">. Macro indicators like GDP, employment and inflation aren’t pointing to recessions anytime soon. And </w:t>
      </w:r>
      <w:r w:rsidR="008F05EA">
        <w:rPr>
          <w:color w:val="000000" w:themeColor="text1"/>
        </w:rPr>
        <w:t>though</w:t>
      </w:r>
      <w:r w:rsidR="00322C2C" w:rsidRPr="00322C2C">
        <w:rPr>
          <w:color w:val="000000" w:themeColor="text1"/>
        </w:rPr>
        <w:t xml:space="preserve"> the current level of </w:t>
      </w:r>
      <w:r w:rsidR="009F5663">
        <w:rPr>
          <w:color w:val="000000" w:themeColor="text1"/>
        </w:rPr>
        <w:t>f</w:t>
      </w:r>
      <w:r w:rsidR="00322C2C" w:rsidRPr="00322C2C">
        <w:rPr>
          <w:color w:val="000000" w:themeColor="text1"/>
        </w:rPr>
        <w:t xml:space="preserve">ed funds is </w:t>
      </w:r>
      <w:r w:rsidR="008F05EA">
        <w:rPr>
          <w:color w:val="000000" w:themeColor="text1"/>
        </w:rPr>
        <w:t>approaching</w:t>
      </w:r>
      <w:r w:rsidR="00322C2C" w:rsidRPr="00322C2C">
        <w:rPr>
          <w:color w:val="000000" w:themeColor="text1"/>
        </w:rPr>
        <w:t xml:space="preserve"> the normal stop-out point in a rate hike cycle, maybe we’re in for a period of stable rates. </w:t>
      </w:r>
      <w:r w:rsidR="008F05EA">
        <w:rPr>
          <w:color w:val="000000" w:themeColor="text1"/>
        </w:rPr>
        <w:t xml:space="preserve">“Higher for </w:t>
      </w:r>
      <w:r w:rsidR="00FD4282">
        <w:rPr>
          <w:color w:val="000000" w:themeColor="text1"/>
        </w:rPr>
        <w:t>l</w:t>
      </w:r>
      <w:r w:rsidR="008F05EA">
        <w:rPr>
          <w:color w:val="000000" w:themeColor="text1"/>
        </w:rPr>
        <w:t xml:space="preserve">onger” is the mantra of some rate hawks in 2023. </w:t>
      </w:r>
    </w:p>
    <w:p w14:paraId="13F5BC73" w14:textId="05D11C76"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If so, then the current yields on these 7(a) pools are quite handsome. It’s not too difficult to achieve a return of around </w:t>
      </w:r>
      <w:r w:rsidR="009F5663">
        <w:rPr>
          <w:color w:val="000000" w:themeColor="text1"/>
        </w:rPr>
        <w:t>p</w:t>
      </w:r>
      <w:r w:rsidR="009F5663" w:rsidRPr="00322C2C">
        <w:rPr>
          <w:color w:val="000000" w:themeColor="text1"/>
        </w:rPr>
        <w:t xml:space="preserve">rime </w:t>
      </w:r>
      <w:r w:rsidRPr="00322C2C">
        <w:rPr>
          <w:color w:val="000000" w:themeColor="text1"/>
        </w:rPr>
        <w:t xml:space="preserve">minus 270 basis points, which as of this writing equates to a true yield of </w:t>
      </w:r>
      <w:r w:rsidR="00FF0290">
        <w:rPr>
          <w:color w:val="000000" w:themeColor="text1"/>
        </w:rPr>
        <w:t>over 5%</w:t>
      </w:r>
      <w:r w:rsidRPr="00322C2C">
        <w:rPr>
          <w:color w:val="000000" w:themeColor="text1"/>
        </w:rPr>
        <w:t xml:space="preserve">. Where’s the value in that? </w:t>
      </w:r>
    </w:p>
    <w:p w14:paraId="43CAEBAA" w14:textId="5F9EA046" w:rsidR="00322C2C" w:rsidRPr="00322C2C" w:rsidRDefault="00322C2C" w:rsidP="00322C2C">
      <w:pPr>
        <w:tabs>
          <w:tab w:val="left" w:pos="540"/>
        </w:tabs>
        <w:spacing w:after="240" w:line="360" w:lineRule="auto"/>
        <w:rPr>
          <w:color w:val="000000" w:themeColor="text1"/>
        </w:rPr>
      </w:pPr>
      <w:r w:rsidRPr="00322C2C">
        <w:rPr>
          <w:color w:val="000000" w:themeColor="text1"/>
        </w:rPr>
        <w:t xml:space="preserve">For starters, the </w:t>
      </w:r>
      <w:r w:rsidR="00CB1034" w:rsidRPr="00744492">
        <w:rPr>
          <w:i/>
          <w:iCs/>
          <w:color w:val="000000" w:themeColor="text1"/>
        </w:rPr>
        <w:t>10</w:t>
      </w:r>
      <w:r w:rsidR="00CB1034">
        <w:rPr>
          <w:color w:val="000000" w:themeColor="text1"/>
        </w:rPr>
        <w:t>-</w:t>
      </w:r>
      <w:r w:rsidRPr="00322C2C">
        <w:rPr>
          <w:color w:val="000000" w:themeColor="text1"/>
        </w:rPr>
        <w:t xml:space="preserve">year Treasury note has averaged about </w:t>
      </w:r>
      <w:r w:rsidR="00FF0290">
        <w:rPr>
          <w:color w:val="000000" w:themeColor="text1"/>
        </w:rPr>
        <w:t>3.</w:t>
      </w:r>
      <w:r w:rsidR="00AF1846">
        <w:rPr>
          <w:color w:val="000000" w:themeColor="text1"/>
        </w:rPr>
        <w:t>70%</w:t>
      </w:r>
      <w:r w:rsidRPr="00322C2C">
        <w:rPr>
          <w:color w:val="000000" w:themeColor="text1"/>
        </w:rPr>
        <w:t xml:space="preserve"> this year. For closers, these par-level bonds have virtually no prepayment risk and very little price risk, are </w:t>
      </w:r>
      <w:proofErr w:type="spellStart"/>
      <w:r w:rsidRPr="00322C2C">
        <w:rPr>
          <w:color w:val="000000" w:themeColor="text1"/>
        </w:rPr>
        <w:t>pledgable</w:t>
      </w:r>
      <w:proofErr w:type="spellEnd"/>
      <w:r w:rsidRPr="00322C2C">
        <w:rPr>
          <w:color w:val="000000" w:themeColor="text1"/>
        </w:rPr>
        <w:t xml:space="preserve"> and produce month cash flow. </w:t>
      </w:r>
      <w:r w:rsidR="003D533A">
        <w:rPr>
          <w:color w:val="000000" w:themeColor="text1"/>
        </w:rPr>
        <w:t xml:space="preserve">They also can be great items to sell, </w:t>
      </w:r>
      <w:proofErr w:type="gramStart"/>
      <w:r w:rsidR="003D533A">
        <w:rPr>
          <w:color w:val="000000" w:themeColor="text1"/>
        </w:rPr>
        <w:t>if and when</w:t>
      </w:r>
      <w:proofErr w:type="gramEnd"/>
      <w:r w:rsidR="003D533A">
        <w:rPr>
          <w:color w:val="000000" w:themeColor="text1"/>
        </w:rPr>
        <w:t xml:space="preserve"> a community bank decides it needs to extend its duration.</w:t>
      </w:r>
    </w:p>
    <w:p w14:paraId="04704912" w14:textId="74B9E422" w:rsidR="00322C2C" w:rsidRPr="00322C2C" w:rsidRDefault="00322C2C" w:rsidP="00322C2C">
      <w:pPr>
        <w:tabs>
          <w:tab w:val="left" w:pos="540"/>
        </w:tabs>
        <w:spacing w:after="240" w:line="360" w:lineRule="auto"/>
        <w:rPr>
          <w:color w:val="000000" w:themeColor="text1"/>
        </w:rPr>
      </w:pPr>
      <w:r w:rsidRPr="00322C2C">
        <w:rPr>
          <w:color w:val="000000" w:themeColor="text1"/>
        </w:rPr>
        <w:t>What if you committed a portion of your securities portfolio to investing in SBA 7(a) pools?</w:t>
      </w:r>
    </w:p>
    <w:p w14:paraId="4453E575" w14:textId="77777777" w:rsidR="009F5663" w:rsidRDefault="009F5663" w:rsidP="004541DC">
      <w:pPr>
        <w:tabs>
          <w:tab w:val="left" w:pos="540"/>
        </w:tabs>
        <w:spacing w:after="240" w:line="360" w:lineRule="auto"/>
        <w:rPr>
          <w:rStyle w:val="ICBAbold"/>
          <w:iCs/>
        </w:rPr>
      </w:pPr>
    </w:p>
    <w:p w14:paraId="6E0B3AC9" w14:textId="0F1C1B67" w:rsidR="003D49D5" w:rsidRPr="009B4A7A" w:rsidRDefault="00171949" w:rsidP="004541DC">
      <w:pPr>
        <w:tabs>
          <w:tab w:val="left" w:pos="540"/>
        </w:tabs>
        <w:spacing w:after="240" w:line="360" w:lineRule="auto"/>
        <w:rPr>
          <w:b/>
          <w:bCs/>
          <w:iCs/>
        </w:rPr>
      </w:pPr>
      <w:r>
        <w:rPr>
          <w:rStyle w:val="ICBAbold"/>
          <w:iCs/>
        </w:rPr>
        <w:t>J</w:t>
      </w:r>
      <w:r w:rsidR="003D49D5" w:rsidRPr="005F77C9">
        <w:rPr>
          <w:rStyle w:val="ICBAbold"/>
          <w:iCs/>
        </w:rPr>
        <w:t xml:space="preserve">im </w:t>
      </w:r>
      <w:proofErr w:type="spellStart"/>
      <w:r w:rsidR="003D49D5" w:rsidRPr="005F77C9">
        <w:rPr>
          <w:rStyle w:val="ICBAbold"/>
          <w:iCs/>
        </w:rPr>
        <w:t>Reber</w:t>
      </w:r>
      <w:proofErr w:type="spellEnd"/>
      <w:r w:rsidR="003D49D5" w:rsidRPr="00920512">
        <w:rPr>
          <w:iCs/>
        </w:rPr>
        <w:t xml:space="preserve"> </w:t>
      </w:r>
      <w:r w:rsidR="003D49D5" w:rsidRPr="009B4A7A">
        <w:rPr>
          <w:b/>
          <w:bCs/>
          <w:iCs/>
        </w:rPr>
        <w:t>(</w:t>
      </w:r>
      <w:hyperlink r:id="rId6" w:history="1">
        <w:r w:rsidR="003D49D5" w:rsidRPr="009B4A7A">
          <w:rPr>
            <w:rStyle w:val="Hyperlink"/>
            <w:b/>
            <w:bCs/>
            <w:i/>
          </w:rPr>
          <w:t>jreber@icbasecurities.com</w:t>
        </w:r>
      </w:hyperlink>
      <w:r w:rsidR="003D49D5" w:rsidRPr="009B4A7A">
        <w:rPr>
          <w:b/>
          <w:bCs/>
          <w:iCs/>
        </w:rPr>
        <w:t xml:space="preserve">) is president and CEO of ICBA Securities, ICBA’s institutional, fixed-income broker-dealer for community banks. </w:t>
      </w:r>
    </w:p>
    <w:p w14:paraId="6C0B664F" w14:textId="7FBA79EB" w:rsidR="00892B69" w:rsidRDefault="00C56651" w:rsidP="004541DC">
      <w:pPr>
        <w:tabs>
          <w:tab w:val="left" w:pos="540"/>
        </w:tabs>
        <w:spacing w:after="240" w:line="360" w:lineRule="auto"/>
        <w:rPr>
          <w:rStyle w:val="ICBAbold"/>
          <w:b w:val="0"/>
          <w:color w:val="FF0000"/>
        </w:rPr>
      </w:pPr>
      <w:r w:rsidRPr="005F77C9">
        <w:rPr>
          <w:rStyle w:val="ICBAbold"/>
          <w:b w:val="0"/>
          <w:color w:val="FF0000"/>
        </w:rPr>
        <w:t>[ends]</w:t>
      </w:r>
      <w:bookmarkEnd w:id="0"/>
    </w:p>
    <w:p w14:paraId="2FE420BC" w14:textId="77777777" w:rsidR="002571E6" w:rsidRDefault="002571E6" w:rsidP="004541DC">
      <w:pPr>
        <w:tabs>
          <w:tab w:val="left" w:pos="540"/>
        </w:tabs>
        <w:spacing w:after="240" w:line="360" w:lineRule="auto"/>
        <w:rPr>
          <w:rStyle w:val="ICBAbold"/>
          <w:b w:val="0"/>
          <w:color w:val="FF0000"/>
        </w:rPr>
      </w:pPr>
    </w:p>
    <w:p w14:paraId="1E873173" w14:textId="0306C1E1" w:rsidR="00F156C0" w:rsidRDefault="00F156C0" w:rsidP="007137E8">
      <w:pPr>
        <w:tabs>
          <w:tab w:val="left" w:pos="540"/>
        </w:tabs>
        <w:spacing w:after="240" w:line="360" w:lineRule="auto"/>
        <w:rPr>
          <w:rStyle w:val="ICBAbold"/>
        </w:rPr>
      </w:pPr>
      <w:r>
        <w:rPr>
          <w:rStyle w:val="ICBAbold"/>
          <w:b w:val="0"/>
          <w:color w:val="FF0000"/>
        </w:rPr>
        <w:t xml:space="preserve">[sidebar] </w:t>
      </w:r>
      <w:r w:rsidRPr="007521D7">
        <w:rPr>
          <w:rStyle w:val="ICBAbold"/>
        </w:rPr>
        <w:t>Education on tap</w:t>
      </w:r>
    </w:p>
    <w:p w14:paraId="37EC96B2" w14:textId="77777777" w:rsidR="009239D1" w:rsidRPr="005D3456" w:rsidRDefault="009239D1" w:rsidP="009239D1">
      <w:pPr>
        <w:spacing w:line="360" w:lineRule="auto"/>
        <w:outlineLvl w:val="0"/>
      </w:pPr>
      <w:r>
        <w:rPr>
          <w:b/>
        </w:rPr>
        <w:t xml:space="preserve">Quarterly bank strategies webcast </w:t>
      </w:r>
    </w:p>
    <w:p w14:paraId="0A5DEC4E" w14:textId="017C953A" w:rsidR="009239D1" w:rsidRDefault="009239D1" w:rsidP="009239D1">
      <w:pPr>
        <w:spacing w:after="240" w:line="360" w:lineRule="auto"/>
        <w:rPr>
          <w:rStyle w:val="ICBAbold"/>
          <w:b w:val="0"/>
          <w:bCs/>
        </w:rPr>
      </w:pPr>
      <w:r>
        <w:rPr>
          <w:rStyle w:val="ICBAbold"/>
          <w:b w:val="0"/>
          <w:bCs/>
        </w:rPr>
        <w:t>ICBA Securities’ endorsed broker Stifel hosts its next strategies webcast May 18 at 1</w:t>
      </w:r>
      <w:r w:rsidR="009F5663">
        <w:rPr>
          <w:rStyle w:val="ICBAbold"/>
          <w:b w:val="0"/>
          <w:bCs/>
        </w:rPr>
        <w:t xml:space="preserve"> p.m.</w:t>
      </w:r>
      <w:r w:rsidR="00FD4282">
        <w:rPr>
          <w:rStyle w:val="ICBAbold"/>
          <w:b w:val="0"/>
          <w:bCs/>
        </w:rPr>
        <w:t xml:space="preserve"> </w:t>
      </w:r>
      <w:r w:rsidR="00CB1034">
        <w:rPr>
          <w:rStyle w:val="ICBAbold"/>
          <w:b w:val="0"/>
          <w:bCs/>
        </w:rPr>
        <w:t>Eastern</w:t>
      </w:r>
      <w:r>
        <w:rPr>
          <w:rStyle w:val="ICBAbold"/>
          <w:b w:val="0"/>
          <w:bCs/>
        </w:rPr>
        <w:t xml:space="preserve">. Several members of Stifel’s Fixed Income Strategies staff will discuss current </w:t>
      </w:r>
      <w:r>
        <w:rPr>
          <w:rStyle w:val="ICBAbold"/>
          <w:b w:val="0"/>
          <w:bCs/>
        </w:rPr>
        <w:lastRenderedPageBreak/>
        <w:t xml:space="preserve">opportunities and relative value. </w:t>
      </w:r>
      <w:r w:rsidR="003D533A">
        <w:rPr>
          <w:rStyle w:val="ICBAbold"/>
          <w:b w:val="0"/>
          <w:bCs/>
        </w:rPr>
        <w:t xml:space="preserve">Up to 1.5 hours of CPE are offered. To register, contact your Stifel </w:t>
      </w:r>
      <w:r w:rsidR="009F5663">
        <w:rPr>
          <w:rStyle w:val="ICBAbold"/>
          <w:b w:val="0"/>
          <w:bCs/>
        </w:rPr>
        <w:t>rep</w:t>
      </w:r>
      <w:r w:rsidR="003D533A">
        <w:rPr>
          <w:rStyle w:val="ICBAbold"/>
          <w:b w:val="0"/>
          <w:bCs/>
        </w:rPr>
        <w:t>.</w:t>
      </w:r>
    </w:p>
    <w:p w14:paraId="0AFA1F3F" w14:textId="6CEEBEB8" w:rsidR="00661B4F" w:rsidRDefault="00661B4F" w:rsidP="009239D1">
      <w:pPr>
        <w:tabs>
          <w:tab w:val="left" w:pos="540"/>
        </w:tabs>
        <w:spacing w:line="360" w:lineRule="auto"/>
        <w:rPr>
          <w:rStyle w:val="ICBAbold"/>
        </w:rPr>
      </w:pPr>
      <w:r>
        <w:rPr>
          <w:rStyle w:val="ICBAbold"/>
        </w:rPr>
        <w:t>Bank management fundamentals webcast</w:t>
      </w:r>
    </w:p>
    <w:p w14:paraId="328776CA" w14:textId="6C40F82C" w:rsidR="00105114" w:rsidRPr="00105114" w:rsidRDefault="00661B4F" w:rsidP="009239D1">
      <w:pPr>
        <w:tabs>
          <w:tab w:val="left" w:pos="540"/>
        </w:tabs>
        <w:spacing w:line="360" w:lineRule="auto"/>
      </w:pPr>
      <w:r>
        <w:t xml:space="preserve">Marty Mosby, </w:t>
      </w:r>
      <w:r w:rsidR="00FD4282">
        <w:t>d</w:t>
      </w:r>
      <w:r>
        <w:t>irector of Stifel’s Enterprise and Risk Management Analytics (ERMA), presents his next quarterly webcast June 6 at 1</w:t>
      </w:r>
      <w:r w:rsidR="009F5663">
        <w:t xml:space="preserve"> p.m.</w:t>
      </w:r>
      <w:r>
        <w:t xml:space="preserve"> </w:t>
      </w:r>
      <w:r w:rsidR="00CB1034">
        <w:t>Eastern</w:t>
      </w:r>
      <w:r>
        <w:t xml:space="preserve">. </w:t>
      </w:r>
      <w:r w:rsidR="003D533A">
        <w:t xml:space="preserve">Participants can earn up to one hour of CPE. </w:t>
      </w:r>
      <w:r w:rsidR="00105114" w:rsidRPr="00105114">
        <w:t xml:space="preserve">To register, visit </w:t>
      </w:r>
      <w:r w:rsidR="00892B69">
        <w:t>&lt;</w:t>
      </w:r>
      <w:proofErr w:type="spellStart"/>
      <w:r w:rsidR="00892B69">
        <w:t>i</w:t>
      </w:r>
      <w:proofErr w:type="spellEnd"/>
      <w:r w:rsidR="00892B69">
        <w:t>&gt;</w:t>
      </w:r>
      <w:r w:rsidR="00CB139A" w:rsidRPr="00F1711A">
        <w:rPr>
          <w:b/>
          <w:bCs/>
          <w:i/>
          <w:color w:val="0000FF"/>
          <w:u w:val="single"/>
        </w:rPr>
        <w:t>icbasecurities.com</w:t>
      </w:r>
      <w:r w:rsidR="00892B69">
        <w:t>&lt;</w:t>
      </w:r>
      <w:proofErr w:type="spellStart"/>
      <w:r w:rsidR="00892B69">
        <w:t>i</w:t>
      </w:r>
      <w:proofErr w:type="spellEnd"/>
      <w:r w:rsidR="00892B69">
        <w:t>&gt;</w:t>
      </w:r>
    </w:p>
    <w:p w14:paraId="22EC71E6" w14:textId="63DA4331" w:rsidR="00570D5C" w:rsidRDefault="00570D5C" w:rsidP="004541DC">
      <w:pPr>
        <w:spacing w:after="240" w:line="360" w:lineRule="auto"/>
        <w:rPr>
          <w:rStyle w:val="ICBAbold"/>
          <w:b w:val="0"/>
          <w:bCs/>
        </w:rPr>
      </w:pPr>
    </w:p>
    <w:p w14:paraId="4C4B4509" w14:textId="78C39A63" w:rsidR="001B72C6" w:rsidRDefault="00B6481B" w:rsidP="004541DC">
      <w:pPr>
        <w:spacing w:after="240" w:line="360" w:lineRule="auto"/>
        <w:rPr>
          <w:rStyle w:val="ICBAbold"/>
          <w:b w:val="0"/>
          <w:color w:val="FF0000"/>
        </w:rPr>
      </w:pPr>
      <w:r>
        <w:rPr>
          <w:rStyle w:val="ICBAbold"/>
          <w:b w:val="0"/>
          <w:color w:val="FF0000"/>
        </w:rPr>
        <w:t>[sidebar ends]</w:t>
      </w:r>
    </w:p>
    <w:p w14:paraId="5F73B771" w14:textId="229B83F2" w:rsidR="005B369E" w:rsidRDefault="005B369E" w:rsidP="004541DC">
      <w:pPr>
        <w:spacing w:after="240" w:line="360" w:lineRule="auto"/>
        <w:rPr>
          <w:rStyle w:val="ICBAbold"/>
          <w:b w:val="0"/>
          <w:color w:val="FF0000"/>
        </w:rPr>
      </w:pPr>
    </w:p>
    <w:sectPr w:rsidR="005B369E"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25936926">
    <w:abstractNumId w:val="31"/>
  </w:num>
  <w:num w:numId="2" w16cid:durableId="1744528198">
    <w:abstractNumId w:val="19"/>
  </w:num>
  <w:num w:numId="3" w16cid:durableId="1563902542">
    <w:abstractNumId w:val="16"/>
  </w:num>
  <w:num w:numId="4" w16cid:durableId="429815608">
    <w:abstractNumId w:val="34"/>
  </w:num>
  <w:num w:numId="5" w16cid:durableId="395932306">
    <w:abstractNumId w:val="13"/>
  </w:num>
  <w:num w:numId="6" w16cid:durableId="1013141959">
    <w:abstractNumId w:val="26"/>
  </w:num>
  <w:num w:numId="7" w16cid:durableId="2050447544">
    <w:abstractNumId w:val="23"/>
  </w:num>
  <w:num w:numId="8" w16cid:durableId="1145659678">
    <w:abstractNumId w:val="0"/>
  </w:num>
  <w:num w:numId="9" w16cid:durableId="304236179">
    <w:abstractNumId w:val="24"/>
  </w:num>
  <w:num w:numId="10" w16cid:durableId="102388956">
    <w:abstractNumId w:val="8"/>
  </w:num>
  <w:num w:numId="11" w16cid:durableId="168107572">
    <w:abstractNumId w:val="27"/>
  </w:num>
  <w:num w:numId="12" w16cid:durableId="575749323">
    <w:abstractNumId w:val="28"/>
  </w:num>
  <w:num w:numId="13" w16cid:durableId="1978412530">
    <w:abstractNumId w:val="18"/>
  </w:num>
  <w:num w:numId="14" w16cid:durableId="232475976">
    <w:abstractNumId w:val="32"/>
  </w:num>
  <w:num w:numId="15" w16cid:durableId="308366860">
    <w:abstractNumId w:val="21"/>
  </w:num>
  <w:num w:numId="16" w16cid:durableId="682824891">
    <w:abstractNumId w:val="11"/>
  </w:num>
  <w:num w:numId="17" w16cid:durableId="388918945">
    <w:abstractNumId w:val="25"/>
  </w:num>
  <w:num w:numId="18" w16cid:durableId="1147745733">
    <w:abstractNumId w:val="15"/>
  </w:num>
  <w:num w:numId="19" w16cid:durableId="1336767552">
    <w:abstractNumId w:val="3"/>
  </w:num>
  <w:num w:numId="20" w16cid:durableId="1626034633">
    <w:abstractNumId w:val="5"/>
  </w:num>
  <w:num w:numId="21" w16cid:durableId="546920289">
    <w:abstractNumId w:val="30"/>
  </w:num>
  <w:num w:numId="22" w16cid:durableId="1182938445">
    <w:abstractNumId w:val="20"/>
  </w:num>
  <w:num w:numId="23" w16cid:durableId="319041413">
    <w:abstractNumId w:val="7"/>
  </w:num>
  <w:num w:numId="24" w16cid:durableId="260339705">
    <w:abstractNumId w:val="12"/>
  </w:num>
  <w:num w:numId="25" w16cid:durableId="289214897">
    <w:abstractNumId w:val="14"/>
  </w:num>
  <w:num w:numId="26" w16cid:durableId="459735545">
    <w:abstractNumId w:val="17"/>
  </w:num>
  <w:num w:numId="27" w16cid:durableId="1477263718">
    <w:abstractNumId w:val="33"/>
  </w:num>
  <w:num w:numId="28" w16cid:durableId="642153247">
    <w:abstractNumId w:val="6"/>
  </w:num>
  <w:num w:numId="29" w16cid:durableId="1265193033">
    <w:abstractNumId w:val="1"/>
  </w:num>
  <w:num w:numId="30" w16cid:durableId="85393983">
    <w:abstractNumId w:val="10"/>
  </w:num>
  <w:num w:numId="31" w16cid:durableId="1757049022">
    <w:abstractNumId w:val="22"/>
  </w:num>
  <w:num w:numId="32" w16cid:durableId="769667825">
    <w:abstractNumId w:val="29"/>
  </w:num>
  <w:num w:numId="33" w16cid:durableId="82192552">
    <w:abstractNumId w:val="9"/>
  </w:num>
  <w:num w:numId="34" w16cid:durableId="1855149098">
    <w:abstractNumId w:val="2"/>
  </w:num>
  <w:num w:numId="35" w16cid:durableId="207651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1F82"/>
    <w:rsid w:val="00002453"/>
    <w:rsid w:val="00002F33"/>
    <w:rsid w:val="000047F9"/>
    <w:rsid w:val="000057FC"/>
    <w:rsid w:val="00005900"/>
    <w:rsid w:val="00005DC2"/>
    <w:rsid w:val="00007110"/>
    <w:rsid w:val="000076DD"/>
    <w:rsid w:val="00007AEB"/>
    <w:rsid w:val="0001238A"/>
    <w:rsid w:val="000136D3"/>
    <w:rsid w:val="00013A2D"/>
    <w:rsid w:val="00013AB6"/>
    <w:rsid w:val="000154A5"/>
    <w:rsid w:val="00015A62"/>
    <w:rsid w:val="00015F32"/>
    <w:rsid w:val="00016B59"/>
    <w:rsid w:val="00016F70"/>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5D2"/>
    <w:rsid w:val="00041DC0"/>
    <w:rsid w:val="000428F3"/>
    <w:rsid w:val="00042B0A"/>
    <w:rsid w:val="000439DA"/>
    <w:rsid w:val="000447C0"/>
    <w:rsid w:val="00044D01"/>
    <w:rsid w:val="00045325"/>
    <w:rsid w:val="00046845"/>
    <w:rsid w:val="00046C83"/>
    <w:rsid w:val="00047077"/>
    <w:rsid w:val="00047FCB"/>
    <w:rsid w:val="000507C7"/>
    <w:rsid w:val="00050965"/>
    <w:rsid w:val="00050B4F"/>
    <w:rsid w:val="00050EA0"/>
    <w:rsid w:val="00050FE0"/>
    <w:rsid w:val="000518AE"/>
    <w:rsid w:val="000519F2"/>
    <w:rsid w:val="000533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679DF"/>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558"/>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29"/>
    <w:rsid w:val="000C3167"/>
    <w:rsid w:val="000C40B1"/>
    <w:rsid w:val="000C5840"/>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114"/>
    <w:rsid w:val="0010563C"/>
    <w:rsid w:val="0010723E"/>
    <w:rsid w:val="00107EE1"/>
    <w:rsid w:val="00111E18"/>
    <w:rsid w:val="00111E48"/>
    <w:rsid w:val="00112931"/>
    <w:rsid w:val="0011297C"/>
    <w:rsid w:val="00113738"/>
    <w:rsid w:val="001137B7"/>
    <w:rsid w:val="0011439A"/>
    <w:rsid w:val="00114B3D"/>
    <w:rsid w:val="001151E4"/>
    <w:rsid w:val="00115557"/>
    <w:rsid w:val="00115BD7"/>
    <w:rsid w:val="001162C0"/>
    <w:rsid w:val="00117469"/>
    <w:rsid w:val="00117E2E"/>
    <w:rsid w:val="00120042"/>
    <w:rsid w:val="001204C1"/>
    <w:rsid w:val="00121494"/>
    <w:rsid w:val="00121F17"/>
    <w:rsid w:val="00121FD6"/>
    <w:rsid w:val="00122B22"/>
    <w:rsid w:val="00122C36"/>
    <w:rsid w:val="001231BD"/>
    <w:rsid w:val="00124663"/>
    <w:rsid w:val="001246D8"/>
    <w:rsid w:val="00124A74"/>
    <w:rsid w:val="00124BBE"/>
    <w:rsid w:val="00125072"/>
    <w:rsid w:val="00125E3C"/>
    <w:rsid w:val="00127461"/>
    <w:rsid w:val="00130378"/>
    <w:rsid w:val="00131AD0"/>
    <w:rsid w:val="00131D76"/>
    <w:rsid w:val="00132692"/>
    <w:rsid w:val="00133406"/>
    <w:rsid w:val="00135803"/>
    <w:rsid w:val="001365E8"/>
    <w:rsid w:val="0013690B"/>
    <w:rsid w:val="00136CB5"/>
    <w:rsid w:val="00136DE6"/>
    <w:rsid w:val="00136DFC"/>
    <w:rsid w:val="00137144"/>
    <w:rsid w:val="00137AF8"/>
    <w:rsid w:val="00137B1F"/>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205"/>
    <w:rsid w:val="001633EC"/>
    <w:rsid w:val="00163CF2"/>
    <w:rsid w:val="00163E29"/>
    <w:rsid w:val="001645E7"/>
    <w:rsid w:val="001647C7"/>
    <w:rsid w:val="00164B44"/>
    <w:rsid w:val="00164CE2"/>
    <w:rsid w:val="00164D77"/>
    <w:rsid w:val="001663A5"/>
    <w:rsid w:val="0016663E"/>
    <w:rsid w:val="0016679B"/>
    <w:rsid w:val="00167A04"/>
    <w:rsid w:val="00170A04"/>
    <w:rsid w:val="00170ED9"/>
    <w:rsid w:val="0017194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1C0B"/>
    <w:rsid w:val="00182318"/>
    <w:rsid w:val="0018379F"/>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A7796"/>
    <w:rsid w:val="001B04B5"/>
    <w:rsid w:val="001B13A0"/>
    <w:rsid w:val="001B1862"/>
    <w:rsid w:val="001B1BAC"/>
    <w:rsid w:val="001B2008"/>
    <w:rsid w:val="001B27D6"/>
    <w:rsid w:val="001B2FFA"/>
    <w:rsid w:val="001B3216"/>
    <w:rsid w:val="001B355F"/>
    <w:rsid w:val="001B4397"/>
    <w:rsid w:val="001B4AF1"/>
    <w:rsid w:val="001B4D1A"/>
    <w:rsid w:val="001B4EE0"/>
    <w:rsid w:val="001B612B"/>
    <w:rsid w:val="001B6A58"/>
    <w:rsid w:val="001B72C6"/>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6D44"/>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3AD"/>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3FB9"/>
    <w:rsid w:val="002054F1"/>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0CF7"/>
    <w:rsid w:val="00251BC7"/>
    <w:rsid w:val="00251D0F"/>
    <w:rsid w:val="002525C7"/>
    <w:rsid w:val="00252BA7"/>
    <w:rsid w:val="00253020"/>
    <w:rsid w:val="00253731"/>
    <w:rsid w:val="00253E77"/>
    <w:rsid w:val="00254A8C"/>
    <w:rsid w:val="002552E4"/>
    <w:rsid w:val="0025596B"/>
    <w:rsid w:val="00255B1E"/>
    <w:rsid w:val="00255BEA"/>
    <w:rsid w:val="00256ABD"/>
    <w:rsid w:val="00256FD3"/>
    <w:rsid w:val="002571E6"/>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59C"/>
    <w:rsid w:val="00272D2A"/>
    <w:rsid w:val="00273B9A"/>
    <w:rsid w:val="00274010"/>
    <w:rsid w:val="002743E5"/>
    <w:rsid w:val="00274F6B"/>
    <w:rsid w:val="0027549E"/>
    <w:rsid w:val="00276AD9"/>
    <w:rsid w:val="00277F2B"/>
    <w:rsid w:val="00277F53"/>
    <w:rsid w:val="00277F7F"/>
    <w:rsid w:val="00280067"/>
    <w:rsid w:val="00280443"/>
    <w:rsid w:val="0028208D"/>
    <w:rsid w:val="002825D6"/>
    <w:rsid w:val="0028294C"/>
    <w:rsid w:val="00282FE5"/>
    <w:rsid w:val="00283154"/>
    <w:rsid w:val="00283F95"/>
    <w:rsid w:val="002846EB"/>
    <w:rsid w:val="0028490C"/>
    <w:rsid w:val="00284A49"/>
    <w:rsid w:val="00284FB2"/>
    <w:rsid w:val="002855FF"/>
    <w:rsid w:val="0028565E"/>
    <w:rsid w:val="00285EE1"/>
    <w:rsid w:val="002869A1"/>
    <w:rsid w:val="0028736B"/>
    <w:rsid w:val="00290505"/>
    <w:rsid w:val="00290D7D"/>
    <w:rsid w:val="00290DED"/>
    <w:rsid w:val="00292D0D"/>
    <w:rsid w:val="0029405C"/>
    <w:rsid w:val="00294217"/>
    <w:rsid w:val="00294559"/>
    <w:rsid w:val="00295618"/>
    <w:rsid w:val="00295A07"/>
    <w:rsid w:val="00295DF8"/>
    <w:rsid w:val="00296592"/>
    <w:rsid w:val="002966FC"/>
    <w:rsid w:val="00296EEA"/>
    <w:rsid w:val="0029771B"/>
    <w:rsid w:val="0029790A"/>
    <w:rsid w:val="00297D20"/>
    <w:rsid w:val="002A10DA"/>
    <w:rsid w:val="002A1EAF"/>
    <w:rsid w:val="002A217E"/>
    <w:rsid w:val="002A3723"/>
    <w:rsid w:val="002A4A40"/>
    <w:rsid w:val="002A51E8"/>
    <w:rsid w:val="002A6110"/>
    <w:rsid w:val="002A6BC7"/>
    <w:rsid w:val="002B36B4"/>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2AEA"/>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0D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23E"/>
    <w:rsid w:val="00304440"/>
    <w:rsid w:val="003044D2"/>
    <w:rsid w:val="00304527"/>
    <w:rsid w:val="00304791"/>
    <w:rsid w:val="00304811"/>
    <w:rsid w:val="00304E0F"/>
    <w:rsid w:val="00305081"/>
    <w:rsid w:val="003052BE"/>
    <w:rsid w:val="0030587A"/>
    <w:rsid w:val="003070D1"/>
    <w:rsid w:val="003074F8"/>
    <w:rsid w:val="00307623"/>
    <w:rsid w:val="00307D86"/>
    <w:rsid w:val="00307EE8"/>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2C2C"/>
    <w:rsid w:val="003245F8"/>
    <w:rsid w:val="00324641"/>
    <w:rsid w:val="003263FC"/>
    <w:rsid w:val="00326CE6"/>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79A"/>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1F4"/>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44FD"/>
    <w:rsid w:val="003745EA"/>
    <w:rsid w:val="003761A2"/>
    <w:rsid w:val="00376908"/>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1F2"/>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727"/>
    <w:rsid w:val="003A09CB"/>
    <w:rsid w:val="003A0FC9"/>
    <w:rsid w:val="003A114E"/>
    <w:rsid w:val="003A1A95"/>
    <w:rsid w:val="003A25A3"/>
    <w:rsid w:val="003A415B"/>
    <w:rsid w:val="003A6101"/>
    <w:rsid w:val="003A7044"/>
    <w:rsid w:val="003B0385"/>
    <w:rsid w:val="003B09EF"/>
    <w:rsid w:val="003B138B"/>
    <w:rsid w:val="003B19B8"/>
    <w:rsid w:val="003B4158"/>
    <w:rsid w:val="003B45DA"/>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33A"/>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25EF"/>
    <w:rsid w:val="00404097"/>
    <w:rsid w:val="00404159"/>
    <w:rsid w:val="0040427A"/>
    <w:rsid w:val="0040427E"/>
    <w:rsid w:val="00405743"/>
    <w:rsid w:val="0040575E"/>
    <w:rsid w:val="00405E38"/>
    <w:rsid w:val="004065D9"/>
    <w:rsid w:val="0040685D"/>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17B79"/>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1DC"/>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63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5D67"/>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412"/>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C0F"/>
    <w:rsid w:val="004B2D52"/>
    <w:rsid w:val="004B2F82"/>
    <w:rsid w:val="004B3550"/>
    <w:rsid w:val="004B3C1F"/>
    <w:rsid w:val="004B5849"/>
    <w:rsid w:val="004B5AFE"/>
    <w:rsid w:val="004B5E2A"/>
    <w:rsid w:val="004B6A11"/>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D05"/>
    <w:rsid w:val="00522E94"/>
    <w:rsid w:val="00523EB6"/>
    <w:rsid w:val="00524AEF"/>
    <w:rsid w:val="00524C5D"/>
    <w:rsid w:val="00525B23"/>
    <w:rsid w:val="00531C4A"/>
    <w:rsid w:val="00531F22"/>
    <w:rsid w:val="00532036"/>
    <w:rsid w:val="00532411"/>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004"/>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189E"/>
    <w:rsid w:val="005619E0"/>
    <w:rsid w:val="005643D7"/>
    <w:rsid w:val="00564869"/>
    <w:rsid w:val="00565709"/>
    <w:rsid w:val="00565BBB"/>
    <w:rsid w:val="00566100"/>
    <w:rsid w:val="00566585"/>
    <w:rsid w:val="00567661"/>
    <w:rsid w:val="0057062A"/>
    <w:rsid w:val="00570D5C"/>
    <w:rsid w:val="00570EF8"/>
    <w:rsid w:val="005711EE"/>
    <w:rsid w:val="00571237"/>
    <w:rsid w:val="005712F8"/>
    <w:rsid w:val="0057149F"/>
    <w:rsid w:val="00571B88"/>
    <w:rsid w:val="00572C01"/>
    <w:rsid w:val="00572DB0"/>
    <w:rsid w:val="00573723"/>
    <w:rsid w:val="005749E3"/>
    <w:rsid w:val="005749EE"/>
    <w:rsid w:val="00575C10"/>
    <w:rsid w:val="00575C8D"/>
    <w:rsid w:val="00576737"/>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CD1"/>
    <w:rsid w:val="005A7703"/>
    <w:rsid w:val="005A773B"/>
    <w:rsid w:val="005A7E5B"/>
    <w:rsid w:val="005A7E79"/>
    <w:rsid w:val="005B0784"/>
    <w:rsid w:val="005B0C0E"/>
    <w:rsid w:val="005B0CBC"/>
    <w:rsid w:val="005B1292"/>
    <w:rsid w:val="005B12D7"/>
    <w:rsid w:val="005B1C44"/>
    <w:rsid w:val="005B2924"/>
    <w:rsid w:val="005B369E"/>
    <w:rsid w:val="005B375B"/>
    <w:rsid w:val="005B428F"/>
    <w:rsid w:val="005B457C"/>
    <w:rsid w:val="005B4DD4"/>
    <w:rsid w:val="005B5000"/>
    <w:rsid w:val="005B5233"/>
    <w:rsid w:val="005C05BE"/>
    <w:rsid w:val="005C095D"/>
    <w:rsid w:val="005C1F1E"/>
    <w:rsid w:val="005C28A4"/>
    <w:rsid w:val="005C29E9"/>
    <w:rsid w:val="005C2D8F"/>
    <w:rsid w:val="005C3D4F"/>
    <w:rsid w:val="005C3D8F"/>
    <w:rsid w:val="005C4181"/>
    <w:rsid w:val="005C4E6B"/>
    <w:rsid w:val="005C56CB"/>
    <w:rsid w:val="005C5B21"/>
    <w:rsid w:val="005C612F"/>
    <w:rsid w:val="005D0331"/>
    <w:rsid w:val="005D0714"/>
    <w:rsid w:val="005D0805"/>
    <w:rsid w:val="005D0979"/>
    <w:rsid w:val="005D10E6"/>
    <w:rsid w:val="005D14FA"/>
    <w:rsid w:val="005D21F7"/>
    <w:rsid w:val="005D30E1"/>
    <w:rsid w:val="005D3456"/>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4C05"/>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B37"/>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2FC7"/>
    <w:rsid w:val="00623858"/>
    <w:rsid w:val="00623E90"/>
    <w:rsid w:val="0062426C"/>
    <w:rsid w:val="0062508F"/>
    <w:rsid w:val="00625350"/>
    <w:rsid w:val="0062586E"/>
    <w:rsid w:val="006265D4"/>
    <w:rsid w:val="00627A1A"/>
    <w:rsid w:val="0063111D"/>
    <w:rsid w:val="00632C81"/>
    <w:rsid w:val="0063330E"/>
    <w:rsid w:val="00633B04"/>
    <w:rsid w:val="0063595F"/>
    <w:rsid w:val="00635CD9"/>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B4F"/>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A5F"/>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879D4"/>
    <w:rsid w:val="0069006D"/>
    <w:rsid w:val="006905A7"/>
    <w:rsid w:val="00690651"/>
    <w:rsid w:val="00690BC8"/>
    <w:rsid w:val="00691A17"/>
    <w:rsid w:val="00691CE4"/>
    <w:rsid w:val="00692335"/>
    <w:rsid w:val="0069239E"/>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4AE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06F"/>
    <w:rsid w:val="006E1A9D"/>
    <w:rsid w:val="006E2032"/>
    <w:rsid w:val="006E2355"/>
    <w:rsid w:val="006E238D"/>
    <w:rsid w:val="006E23CC"/>
    <w:rsid w:val="006E2E6C"/>
    <w:rsid w:val="006E3053"/>
    <w:rsid w:val="006E3F99"/>
    <w:rsid w:val="006E41E4"/>
    <w:rsid w:val="006E423D"/>
    <w:rsid w:val="006E5431"/>
    <w:rsid w:val="006E645F"/>
    <w:rsid w:val="006E6BE7"/>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2F03"/>
    <w:rsid w:val="00703134"/>
    <w:rsid w:val="007035A1"/>
    <w:rsid w:val="00704246"/>
    <w:rsid w:val="00705A6C"/>
    <w:rsid w:val="0070675E"/>
    <w:rsid w:val="00707352"/>
    <w:rsid w:val="007078F8"/>
    <w:rsid w:val="00707A7C"/>
    <w:rsid w:val="00710727"/>
    <w:rsid w:val="007120C2"/>
    <w:rsid w:val="007137E8"/>
    <w:rsid w:val="00714A5D"/>
    <w:rsid w:val="00715552"/>
    <w:rsid w:val="00717257"/>
    <w:rsid w:val="007177EA"/>
    <w:rsid w:val="00717B5D"/>
    <w:rsid w:val="00717DA3"/>
    <w:rsid w:val="00717DD7"/>
    <w:rsid w:val="007206A9"/>
    <w:rsid w:val="00720B58"/>
    <w:rsid w:val="007214D8"/>
    <w:rsid w:val="00722912"/>
    <w:rsid w:val="0072302B"/>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492"/>
    <w:rsid w:val="00744664"/>
    <w:rsid w:val="00746728"/>
    <w:rsid w:val="007476D1"/>
    <w:rsid w:val="00750728"/>
    <w:rsid w:val="007521D7"/>
    <w:rsid w:val="0075278D"/>
    <w:rsid w:val="0075287C"/>
    <w:rsid w:val="00752A86"/>
    <w:rsid w:val="007535A5"/>
    <w:rsid w:val="00753965"/>
    <w:rsid w:val="00753C5C"/>
    <w:rsid w:val="00755C9B"/>
    <w:rsid w:val="00755E7F"/>
    <w:rsid w:val="0075609A"/>
    <w:rsid w:val="00757130"/>
    <w:rsid w:val="007575EE"/>
    <w:rsid w:val="00757692"/>
    <w:rsid w:val="0076002B"/>
    <w:rsid w:val="0076088D"/>
    <w:rsid w:val="0076091F"/>
    <w:rsid w:val="00760B00"/>
    <w:rsid w:val="007620CB"/>
    <w:rsid w:val="0076219F"/>
    <w:rsid w:val="00762EE5"/>
    <w:rsid w:val="007633E7"/>
    <w:rsid w:val="007634B3"/>
    <w:rsid w:val="00763E4B"/>
    <w:rsid w:val="007641A8"/>
    <w:rsid w:val="007641DC"/>
    <w:rsid w:val="007645B8"/>
    <w:rsid w:val="00764BF1"/>
    <w:rsid w:val="00764F2B"/>
    <w:rsid w:val="00765922"/>
    <w:rsid w:val="00766325"/>
    <w:rsid w:val="00767436"/>
    <w:rsid w:val="007701B2"/>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761"/>
    <w:rsid w:val="007B6ACE"/>
    <w:rsid w:val="007B6C18"/>
    <w:rsid w:val="007B7377"/>
    <w:rsid w:val="007C0763"/>
    <w:rsid w:val="007C0B98"/>
    <w:rsid w:val="007C0D64"/>
    <w:rsid w:val="007C25DE"/>
    <w:rsid w:val="007C3015"/>
    <w:rsid w:val="007C36CF"/>
    <w:rsid w:val="007C3879"/>
    <w:rsid w:val="007C3B73"/>
    <w:rsid w:val="007C3F8A"/>
    <w:rsid w:val="007C433D"/>
    <w:rsid w:val="007C4889"/>
    <w:rsid w:val="007C546F"/>
    <w:rsid w:val="007C5FF3"/>
    <w:rsid w:val="007C6081"/>
    <w:rsid w:val="007C6121"/>
    <w:rsid w:val="007C666F"/>
    <w:rsid w:val="007C7441"/>
    <w:rsid w:val="007D0BC8"/>
    <w:rsid w:val="007D0FCD"/>
    <w:rsid w:val="007D1859"/>
    <w:rsid w:val="007D3231"/>
    <w:rsid w:val="007D41F8"/>
    <w:rsid w:val="007D4393"/>
    <w:rsid w:val="007D5366"/>
    <w:rsid w:val="007D5482"/>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92A"/>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1CF"/>
    <w:rsid w:val="0082520E"/>
    <w:rsid w:val="0082642C"/>
    <w:rsid w:val="0082651D"/>
    <w:rsid w:val="00826570"/>
    <w:rsid w:val="00826A2E"/>
    <w:rsid w:val="0082755B"/>
    <w:rsid w:val="00827613"/>
    <w:rsid w:val="00827B78"/>
    <w:rsid w:val="00827EEE"/>
    <w:rsid w:val="00830195"/>
    <w:rsid w:val="00830423"/>
    <w:rsid w:val="0083104C"/>
    <w:rsid w:val="00831910"/>
    <w:rsid w:val="00831917"/>
    <w:rsid w:val="00831B6C"/>
    <w:rsid w:val="0083254B"/>
    <w:rsid w:val="00833034"/>
    <w:rsid w:val="008342EB"/>
    <w:rsid w:val="00835062"/>
    <w:rsid w:val="00835777"/>
    <w:rsid w:val="00835E3A"/>
    <w:rsid w:val="00836447"/>
    <w:rsid w:val="00836CD3"/>
    <w:rsid w:val="00836E21"/>
    <w:rsid w:val="00840701"/>
    <w:rsid w:val="008409EC"/>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069"/>
    <w:rsid w:val="008518FA"/>
    <w:rsid w:val="00851A8B"/>
    <w:rsid w:val="0085255F"/>
    <w:rsid w:val="0085305A"/>
    <w:rsid w:val="008533B9"/>
    <w:rsid w:val="008534C3"/>
    <w:rsid w:val="0085400D"/>
    <w:rsid w:val="00854AC6"/>
    <w:rsid w:val="00854DBC"/>
    <w:rsid w:val="008554AF"/>
    <w:rsid w:val="008554BA"/>
    <w:rsid w:val="00855CA3"/>
    <w:rsid w:val="00855D33"/>
    <w:rsid w:val="00856361"/>
    <w:rsid w:val="00856D92"/>
    <w:rsid w:val="00857A3C"/>
    <w:rsid w:val="0086006B"/>
    <w:rsid w:val="008619F7"/>
    <w:rsid w:val="00861B0D"/>
    <w:rsid w:val="00863494"/>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47EB"/>
    <w:rsid w:val="008758B7"/>
    <w:rsid w:val="00876363"/>
    <w:rsid w:val="008772EF"/>
    <w:rsid w:val="008778C7"/>
    <w:rsid w:val="00877F65"/>
    <w:rsid w:val="0088057A"/>
    <w:rsid w:val="00880885"/>
    <w:rsid w:val="00881F20"/>
    <w:rsid w:val="008828D1"/>
    <w:rsid w:val="00882ABD"/>
    <w:rsid w:val="008831C3"/>
    <w:rsid w:val="008840D3"/>
    <w:rsid w:val="0088451F"/>
    <w:rsid w:val="0088484F"/>
    <w:rsid w:val="00884A84"/>
    <w:rsid w:val="00884FE6"/>
    <w:rsid w:val="00885D8B"/>
    <w:rsid w:val="00886025"/>
    <w:rsid w:val="00887960"/>
    <w:rsid w:val="00887F17"/>
    <w:rsid w:val="008904A1"/>
    <w:rsid w:val="00891BA0"/>
    <w:rsid w:val="00891E82"/>
    <w:rsid w:val="00892B69"/>
    <w:rsid w:val="00893571"/>
    <w:rsid w:val="00893675"/>
    <w:rsid w:val="00894411"/>
    <w:rsid w:val="00894D5F"/>
    <w:rsid w:val="00894E12"/>
    <w:rsid w:val="0089527B"/>
    <w:rsid w:val="008953E0"/>
    <w:rsid w:val="0089600C"/>
    <w:rsid w:val="008960B2"/>
    <w:rsid w:val="008965FD"/>
    <w:rsid w:val="00896968"/>
    <w:rsid w:val="00896FF1"/>
    <w:rsid w:val="008A0443"/>
    <w:rsid w:val="008A052D"/>
    <w:rsid w:val="008A1E68"/>
    <w:rsid w:val="008A2036"/>
    <w:rsid w:val="008A2125"/>
    <w:rsid w:val="008A24B2"/>
    <w:rsid w:val="008A297E"/>
    <w:rsid w:val="008A4361"/>
    <w:rsid w:val="008A6443"/>
    <w:rsid w:val="008A7A9F"/>
    <w:rsid w:val="008B0950"/>
    <w:rsid w:val="008B097D"/>
    <w:rsid w:val="008B0B3D"/>
    <w:rsid w:val="008B1508"/>
    <w:rsid w:val="008B1533"/>
    <w:rsid w:val="008B21E3"/>
    <w:rsid w:val="008B2618"/>
    <w:rsid w:val="008B441C"/>
    <w:rsid w:val="008B4611"/>
    <w:rsid w:val="008B4DED"/>
    <w:rsid w:val="008B60B3"/>
    <w:rsid w:val="008B62FC"/>
    <w:rsid w:val="008B6BBA"/>
    <w:rsid w:val="008B7D78"/>
    <w:rsid w:val="008C00D7"/>
    <w:rsid w:val="008C0381"/>
    <w:rsid w:val="008C048B"/>
    <w:rsid w:val="008C048D"/>
    <w:rsid w:val="008C07D3"/>
    <w:rsid w:val="008C231E"/>
    <w:rsid w:val="008C235E"/>
    <w:rsid w:val="008C3493"/>
    <w:rsid w:val="008C426D"/>
    <w:rsid w:val="008C46FD"/>
    <w:rsid w:val="008C484F"/>
    <w:rsid w:val="008C48FF"/>
    <w:rsid w:val="008C60E7"/>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9B3"/>
    <w:rsid w:val="008E4ADB"/>
    <w:rsid w:val="008E4CDA"/>
    <w:rsid w:val="008E4EE0"/>
    <w:rsid w:val="008E51DB"/>
    <w:rsid w:val="008E5CB8"/>
    <w:rsid w:val="008E6CDB"/>
    <w:rsid w:val="008E7207"/>
    <w:rsid w:val="008E7364"/>
    <w:rsid w:val="008E743C"/>
    <w:rsid w:val="008E7620"/>
    <w:rsid w:val="008E7E5B"/>
    <w:rsid w:val="008F05EA"/>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07D7B"/>
    <w:rsid w:val="00910627"/>
    <w:rsid w:val="00911557"/>
    <w:rsid w:val="00912273"/>
    <w:rsid w:val="009128DC"/>
    <w:rsid w:val="00912DCE"/>
    <w:rsid w:val="00914521"/>
    <w:rsid w:val="009149DD"/>
    <w:rsid w:val="009151E3"/>
    <w:rsid w:val="00915737"/>
    <w:rsid w:val="009161AE"/>
    <w:rsid w:val="00916368"/>
    <w:rsid w:val="009166DD"/>
    <w:rsid w:val="00916A23"/>
    <w:rsid w:val="00916DBD"/>
    <w:rsid w:val="00916ED0"/>
    <w:rsid w:val="00917102"/>
    <w:rsid w:val="009173DE"/>
    <w:rsid w:val="00917E0A"/>
    <w:rsid w:val="00920512"/>
    <w:rsid w:val="00920D8A"/>
    <w:rsid w:val="00920D8E"/>
    <w:rsid w:val="0092111A"/>
    <w:rsid w:val="009216F5"/>
    <w:rsid w:val="00921A8A"/>
    <w:rsid w:val="009220F4"/>
    <w:rsid w:val="00922980"/>
    <w:rsid w:val="00922A63"/>
    <w:rsid w:val="00923036"/>
    <w:rsid w:val="009236B1"/>
    <w:rsid w:val="009239D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54BB"/>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09A"/>
    <w:rsid w:val="009528B0"/>
    <w:rsid w:val="00952954"/>
    <w:rsid w:val="00952D30"/>
    <w:rsid w:val="00952F1F"/>
    <w:rsid w:val="009533EE"/>
    <w:rsid w:val="00954312"/>
    <w:rsid w:val="00954477"/>
    <w:rsid w:val="00954585"/>
    <w:rsid w:val="00954BD2"/>
    <w:rsid w:val="00955A11"/>
    <w:rsid w:val="00955BDC"/>
    <w:rsid w:val="009565D5"/>
    <w:rsid w:val="009601F6"/>
    <w:rsid w:val="0096028D"/>
    <w:rsid w:val="0096310C"/>
    <w:rsid w:val="00963555"/>
    <w:rsid w:val="009636D3"/>
    <w:rsid w:val="00964E41"/>
    <w:rsid w:val="00965482"/>
    <w:rsid w:val="0096590C"/>
    <w:rsid w:val="00966E12"/>
    <w:rsid w:val="0096737B"/>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1C6B"/>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1AC5"/>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43F"/>
    <w:rsid w:val="009E1A5A"/>
    <w:rsid w:val="009E1EFF"/>
    <w:rsid w:val="009E321A"/>
    <w:rsid w:val="009E35F7"/>
    <w:rsid w:val="009E4BBD"/>
    <w:rsid w:val="009E4F9D"/>
    <w:rsid w:val="009E53F7"/>
    <w:rsid w:val="009E58F3"/>
    <w:rsid w:val="009E5DE7"/>
    <w:rsid w:val="009E6C0E"/>
    <w:rsid w:val="009E6C37"/>
    <w:rsid w:val="009E7AB4"/>
    <w:rsid w:val="009E7FFB"/>
    <w:rsid w:val="009F0287"/>
    <w:rsid w:val="009F09CD"/>
    <w:rsid w:val="009F1565"/>
    <w:rsid w:val="009F20D0"/>
    <w:rsid w:val="009F287D"/>
    <w:rsid w:val="009F28AC"/>
    <w:rsid w:val="009F2A79"/>
    <w:rsid w:val="009F2ECE"/>
    <w:rsid w:val="009F3179"/>
    <w:rsid w:val="009F3922"/>
    <w:rsid w:val="009F3C61"/>
    <w:rsid w:val="009F4098"/>
    <w:rsid w:val="009F4229"/>
    <w:rsid w:val="009F4BE9"/>
    <w:rsid w:val="009F50A4"/>
    <w:rsid w:val="009F50D0"/>
    <w:rsid w:val="009F5663"/>
    <w:rsid w:val="009F58E4"/>
    <w:rsid w:val="009F5CF4"/>
    <w:rsid w:val="009F5DAA"/>
    <w:rsid w:val="009F5F93"/>
    <w:rsid w:val="009F69F2"/>
    <w:rsid w:val="009F6AB3"/>
    <w:rsid w:val="009F7C2C"/>
    <w:rsid w:val="00A00428"/>
    <w:rsid w:val="00A00D88"/>
    <w:rsid w:val="00A00E89"/>
    <w:rsid w:val="00A00FA9"/>
    <w:rsid w:val="00A02285"/>
    <w:rsid w:val="00A02687"/>
    <w:rsid w:val="00A0309E"/>
    <w:rsid w:val="00A036E0"/>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16A4A"/>
    <w:rsid w:val="00A203A6"/>
    <w:rsid w:val="00A2076F"/>
    <w:rsid w:val="00A20AFE"/>
    <w:rsid w:val="00A215D0"/>
    <w:rsid w:val="00A21BD9"/>
    <w:rsid w:val="00A21C22"/>
    <w:rsid w:val="00A21C64"/>
    <w:rsid w:val="00A22178"/>
    <w:rsid w:val="00A2229F"/>
    <w:rsid w:val="00A2246C"/>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38D2"/>
    <w:rsid w:val="00A4416D"/>
    <w:rsid w:val="00A4436C"/>
    <w:rsid w:val="00A44D0F"/>
    <w:rsid w:val="00A44E26"/>
    <w:rsid w:val="00A45384"/>
    <w:rsid w:val="00A45F8B"/>
    <w:rsid w:val="00A45FF7"/>
    <w:rsid w:val="00A5068C"/>
    <w:rsid w:val="00A50A7D"/>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C6F"/>
    <w:rsid w:val="00A77E38"/>
    <w:rsid w:val="00A8000B"/>
    <w:rsid w:val="00A81ACC"/>
    <w:rsid w:val="00A81C5D"/>
    <w:rsid w:val="00A81C64"/>
    <w:rsid w:val="00A8248D"/>
    <w:rsid w:val="00A826F0"/>
    <w:rsid w:val="00A8290E"/>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2884"/>
    <w:rsid w:val="00AA28B7"/>
    <w:rsid w:val="00AA31B7"/>
    <w:rsid w:val="00AA3C26"/>
    <w:rsid w:val="00AA54E4"/>
    <w:rsid w:val="00AA5A5A"/>
    <w:rsid w:val="00AA5C19"/>
    <w:rsid w:val="00AA5C41"/>
    <w:rsid w:val="00AA614D"/>
    <w:rsid w:val="00AA6A35"/>
    <w:rsid w:val="00AA6EB6"/>
    <w:rsid w:val="00AA70F5"/>
    <w:rsid w:val="00AA7FDD"/>
    <w:rsid w:val="00AB024B"/>
    <w:rsid w:val="00AB120D"/>
    <w:rsid w:val="00AB1D71"/>
    <w:rsid w:val="00AB2DFF"/>
    <w:rsid w:val="00AB2F40"/>
    <w:rsid w:val="00AB2F6D"/>
    <w:rsid w:val="00AB3D82"/>
    <w:rsid w:val="00AB407C"/>
    <w:rsid w:val="00AB4222"/>
    <w:rsid w:val="00AB43BA"/>
    <w:rsid w:val="00AB4ED2"/>
    <w:rsid w:val="00AB6572"/>
    <w:rsid w:val="00AB6FE6"/>
    <w:rsid w:val="00AB746C"/>
    <w:rsid w:val="00AB7E42"/>
    <w:rsid w:val="00AC0966"/>
    <w:rsid w:val="00AC0A2B"/>
    <w:rsid w:val="00AC2701"/>
    <w:rsid w:val="00AC2A84"/>
    <w:rsid w:val="00AC3423"/>
    <w:rsid w:val="00AC3897"/>
    <w:rsid w:val="00AC3F0E"/>
    <w:rsid w:val="00AC5F84"/>
    <w:rsid w:val="00AC662A"/>
    <w:rsid w:val="00AC7B94"/>
    <w:rsid w:val="00AD07D5"/>
    <w:rsid w:val="00AD10E6"/>
    <w:rsid w:val="00AD1479"/>
    <w:rsid w:val="00AD2302"/>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2DAB"/>
    <w:rsid w:val="00AE33F9"/>
    <w:rsid w:val="00AE3998"/>
    <w:rsid w:val="00AE4829"/>
    <w:rsid w:val="00AE4A06"/>
    <w:rsid w:val="00AE56AC"/>
    <w:rsid w:val="00AE578A"/>
    <w:rsid w:val="00AE5A26"/>
    <w:rsid w:val="00AE5AF0"/>
    <w:rsid w:val="00AE5B8D"/>
    <w:rsid w:val="00AE6985"/>
    <w:rsid w:val="00AF00C4"/>
    <w:rsid w:val="00AF07E0"/>
    <w:rsid w:val="00AF1846"/>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541"/>
    <w:rsid w:val="00B05BBE"/>
    <w:rsid w:val="00B05D15"/>
    <w:rsid w:val="00B06803"/>
    <w:rsid w:val="00B0761F"/>
    <w:rsid w:val="00B07668"/>
    <w:rsid w:val="00B07A38"/>
    <w:rsid w:val="00B131B1"/>
    <w:rsid w:val="00B13240"/>
    <w:rsid w:val="00B13874"/>
    <w:rsid w:val="00B1494C"/>
    <w:rsid w:val="00B14B3D"/>
    <w:rsid w:val="00B15055"/>
    <w:rsid w:val="00B15D94"/>
    <w:rsid w:val="00B162BC"/>
    <w:rsid w:val="00B1668C"/>
    <w:rsid w:val="00B16D79"/>
    <w:rsid w:val="00B1708B"/>
    <w:rsid w:val="00B172F1"/>
    <w:rsid w:val="00B17A28"/>
    <w:rsid w:val="00B203CE"/>
    <w:rsid w:val="00B20E81"/>
    <w:rsid w:val="00B21526"/>
    <w:rsid w:val="00B22434"/>
    <w:rsid w:val="00B22740"/>
    <w:rsid w:val="00B22B82"/>
    <w:rsid w:val="00B23A72"/>
    <w:rsid w:val="00B23CC3"/>
    <w:rsid w:val="00B246B5"/>
    <w:rsid w:val="00B24877"/>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481B"/>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6B22"/>
    <w:rsid w:val="00B771A3"/>
    <w:rsid w:val="00B77516"/>
    <w:rsid w:val="00B80A0C"/>
    <w:rsid w:val="00B8262E"/>
    <w:rsid w:val="00B83900"/>
    <w:rsid w:val="00B83FF3"/>
    <w:rsid w:val="00B84936"/>
    <w:rsid w:val="00B84DE5"/>
    <w:rsid w:val="00B861C2"/>
    <w:rsid w:val="00B8648D"/>
    <w:rsid w:val="00B86A05"/>
    <w:rsid w:val="00B86AC9"/>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880"/>
    <w:rsid w:val="00BA4D5F"/>
    <w:rsid w:val="00BA4F8F"/>
    <w:rsid w:val="00BA59FE"/>
    <w:rsid w:val="00BA6086"/>
    <w:rsid w:val="00BA68A4"/>
    <w:rsid w:val="00BA6D6B"/>
    <w:rsid w:val="00BA7172"/>
    <w:rsid w:val="00BB0A99"/>
    <w:rsid w:val="00BB0BE0"/>
    <w:rsid w:val="00BB11A0"/>
    <w:rsid w:val="00BB2324"/>
    <w:rsid w:val="00BB42C1"/>
    <w:rsid w:val="00BB434F"/>
    <w:rsid w:val="00BB4C78"/>
    <w:rsid w:val="00BB5BAE"/>
    <w:rsid w:val="00BB5FA4"/>
    <w:rsid w:val="00BB671F"/>
    <w:rsid w:val="00BB779D"/>
    <w:rsid w:val="00BB7F71"/>
    <w:rsid w:val="00BC2EDB"/>
    <w:rsid w:val="00BC34A2"/>
    <w:rsid w:val="00BC35B4"/>
    <w:rsid w:val="00BC3772"/>
    <w:rsid w:val="00BC3F1C"/>
    <w:rsid w:val="00BC4399"/>
    <w:rsid w:val="00BC67F0"/>
    <w:rsid w:val="00BC70EF"/>
    <w:rsid w:val="00BC7241"/>
    <w:rsid w:val="00BC7985"/>
    <w:rsid w:val="00BC7B1B"/>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5925"/>
    <w:rsid w:val="00BF601E"/>
    <w:rsid w:val="00BF6151"/>
    <w:rsid w:val="00BF618D"/>
    <w:rsid w:val="00BF69EA"/>
    <w:rsid w:val="00BF792D"/>
    <w:rsid w:val="00C00191"/>
    <w:rsid w:val="00C019DA"/>
    <w:rsid w:val="00C0309B"/>
    <w:rsid w:val="00C040A8"/>
    <w:rsid w:val="00C048B2"/>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58D"/>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37A08"/>
    <w:rsid w:val="00C4086C"/>
    <w:rsid w:val="00C408A8"/>
    <w:rsid w:val="00C4101C"/>
    <w:rsid w:val="00C41F2E"/>
    <w:rsid w:val="00C42E05"/>
    <w:rsid w:val="00C433B9"/>
    <w:rsid w:val="00C4417B"/>
    <w:rsid w:val="00C44A95"/>
    <w:rsid w:val="00C450CC"/>
    <w:rsid w:val="00C4525B"/>
    <w:rsid w:val="00C45578"/>
    <w:rsid w:val="00C457C7"/>
    <w:rsid w:val="00C4597C"/>
    <w:rsid w:val="00C478D8"/>
    <w:rsid w:val="00C50341"/>
    <w:rsid w:val="00C50500"/>
    <w:rsid w:val="00C51A61"/>
    <w:rsid w:val="00C52888"/>
    <w:rsid w:val="00C52D30"/>
    <w:rsid w:val="00C5568C"/>
    <w:rsid w:val="00C56651"/>
    <w:rsid w:val="00C57BF9"/>
    <w:rsid w:val="00C60809"/>
    <w:rsid w:val="00C60CD4"/>
    <w:rsid w:val="00C610AA"/>
    <w:rsid w:val="00C616FE"/>
    <w:rsid w:val="00C6187A"/>
    <w:rsid w:val="00C618C1"/>
    <w:rsid w:val="00C61B5C"/>
    <w:rsid w:val="00C61C0B"/>
    <w:rsid w:val="00C61DAB"/>
    <w:rsid w:val="00C62342"/>
    <w:rsid w:val="00C631EB"/>
    <w:rsid w:val="00C6387E"/>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486B"/>
    <w:rsid w:val="00C75754"/>
    <w:rsid w:val="00C75D52"/>
    <w:rsid w:val="00C75F05"/>
    <w:rsid w:val="00C76082"/>
    <w:rsid w:val="00C77605"/>
    <w:rsid w:val="00C77CCB"/>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57E"/>
    <w:rsid w:val="00CA07E1"/>
    <w:rsid w:val="00CA0FF2"/>
    <w:rsid w:val="00CA10B6"/>
    <w:rsid w:val="00CA1A75"/>
    <w:rsid w:val="00CA1B32"/>
    <w:rsid w:val="00CA1F8F"/>
    <w:rsid w:val="00CA2B6A"/>
    <w:rsid w:val="00CA33D4"/>
    <w:rsid w:val="00CA48D3"/>
    <w:rsid w:val="00CA4B71"/>
    <w:rsid w:val="00CA57CD"/>
    <w:rsid w:val="00CA6197"/>
    <w:rsid w:val="00CA7474"/>
    <w:rsid w:val="00CA78E5"/>
    <w:rsid w:val="00CA7D13"/>
    <w:rsid w:val="00CA7F03"/>
    <w:rsid w:val="00CB0443"/>
    <w:rsid w:val="00CB049E"/>
    <w:rsid w:val="00CB0666"/>
    <w:rsid w:val="00CB08E9"/>
    <w:rsid w:val="00CB1034"/>
    <w:rsid w:val="00CB139A"/>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170"/>
    <w:rsid w:val="00CD2DED"/>
    <w:rsid w:val="00CD32B0"/>
    <w:rsid w:val="00CD477A"/>
    <w:rsid w:val="00CD5192"/>
    <w:rsid w:val="00CD52C8"/>
    <w:rsid w:val="00CD56A0"/>
    <w:rsid w:val="00CD585D"/>
    <w:rsid w:val="00CD591E"/>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68B0"/>
    <w:rsid w:val="00CF7FD1"/>
    <w:rsid w:val="00D00AD6"/>
    <w:rsid w:val="00D0149C"/>
    <w:rsid w:val="00D01B12"/>
    <w:rsid w:val="00D02404"/>
    <w:rsid w:val="00D02622"/>
    <w:rsid w:val="00D0301B"/>
    <w:rsid w:val="00D03B2F"/>
    <w:rsid w:val="00D05AFC"/>
    <w:rsid w:val="00D07638"/>
    <w:rsid w:val="00D10463"/>
    <w:rsid w:val="00D10A3D"/>
    <w:rsid w:val="00D11757"/>
    <w:rsid w:val="00D127B2"/>
    <w:rsid w:val="00D13BAA"/>
    <w:rsid w:val="00D13D5A"/>
    <w:rsid w:val="00D14380"/>
    <w:rsid w:val="00D15EE1"/>
    <w:rsid w:val="00D15F25"/>
    <w:rsid w:val="00D1708E"/>
    <w:rsid w:val="00D17BCD"/>
    <w:rsid w:val="00D20B22"/>
    <w:rsid w:val="00D212BA"/>
    <w:rsid w:val="00D217C3"/>
    <w:rsid w:val="00D21B9F"/>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5FD1"/>
    <w:rsid w:val="00D56019"/>
    <w:rsid w:val="00D56612"/>
    <w:rsid w:val="00D57C3B"/>
    <w:rsid w:val="00D60CF1"/>
    <w:rsid w:val="00D62904"/>
    <w:rsid w:val="00D63963"/>
    <w:rsid w:val="00D63A5C"/>
    <w:rsid w:val="00D63B87"/>
    <w:rsid w:val="00D63C68"/>
    <w:rsid w:val="00D63D24"/>
    <w:rsid w:val="00D641FE"/>
    <w:rsid w:val="00D65722"/>
    <w:rsid w:val="00D66CE3"/>
    <w:rsid w:val="00D7041D"/>
    <w:rsid w:val="00D70A89"/>
    <w:rsid w:val="00D719B2"/>
    <w:rsid w:val="00D71A18"/>
    <w:rsid w:val="00D71B0A"/>
    <w:rsid w:val="00D7205D"/>
    <w:rsid w:val="00D720E7"/>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14C"/>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2C7"/>
    <w:rsid w:val="00DC0885"/>
    <w:rsid w:val="00DC0C7C"/>
    <w:rsid w:val="00DC14F7"/>
    <w:rsid w:val="00DC23FE"/>
    <w:rsid w:val="00DC2AF8"/>
    <w:rsid w:val="00DC4CF9"/>
    <w:rsid w:val="00DC5503"/>
    <w:rsid w:val="00DC5E02"/>
    <w:rsid w:val="00DC70DA"/>
    <w:rsid w:val="00DC791B"/>
    <w:rsid w:val="00DD0C02"/>
    <w:rsid w:val="00DD0F39"/>
    <w:rsid w:val="00DD189F"/>
    <w:rsid w:val="00DD25FE"/>
    <w:rsid w:val="00DD3148"/>
    <w:rsid w:val="00DD3B0A"/>
    <w:rsid w:val="00DD3E75"/>
    <w:rsid w:val="00DD3FC7"/>
    <w:rsid w:val="00DD407A"/>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3EB1"/>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6BC"/>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12A"/>
    <w:rsid w:val="00E513A5"/>
    <w:rsid w:val="00E513C3"/>
    <w:rsid w:val="00E51606"/>
    <w:rsid w:val="00E5186D"/>
    <w:rsid w:val="00E51FEC"/>
    <w:rsid w:val="00E52499"/>
    <w:rsid w:val="00E5313A"/>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7C9"/>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514"/>
    <w:rsid w:val="00EB68DE"/>
    <w:rsid w:val="00EB6D4C"/>
    <w:rsid w:val="00EC17A4"/>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3AD"/>
    <w:rsid w:val="00EE48FC"/>
    <w:rsid w:val="00EE49DE"/>
    <w:rsid w:val="00EE5840"/>
    <w:rsid w:val="00EE63D1"/>
    <w:rsid w:val="00EE657A"/>
    <w:rsid w:val="00EE72CD"/>
    <w:rsid w:val="00EF11DC"/>
    <w:rsid w:val="00EF1635"/>
    <w:rsid w:val="00EF19E1"/>
    <w:rsid w:val="00EF3CCA"/>
    <w:rsid w:val="00EF476A"/>
    <w:rsid w:val="00EF5419"/>
    <w:rsid w:val="00EF5C8B"/>
    <w:rsid w:val="00EF65E8"/>
    <w:rsid w:val="00EF668D"/>
    <w:rsid w:val="00EF74B8"/>
    <w:rsid w:val="00F003F2"/>
    <w:rsid w:val="00F007A8"/>
    <w:rsid w:val="00F009BC"/>
    <w:rsid w:val="00F00AA4"/>
    <w:rsid w:val="00F00B6C"/>
    <w:rsid w:val="00F00E46"/>
    <w:rsid w:val="00F015F3"/>
    <w:rsid w:val="00F021D3"/>
    <w:rsid w:val="00F0228C"/>
    <w:rsid w:val="00F02630"/>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56C0"/>
    <w:rsid w:val="00F167B4"/>
    <w:rsid w:val="00F17055"/>
    <w:rsid w:val="00F1711A"/>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2B3C"/>
    <w:rsid w:val="00F42F75"/>
    <w:rsid w:val="00F43561"/>
    <w:rsid w:val="00F43B34"/>
    <w:rsid w:val="00F447D5"/>
    <w:rsid w:val="00F45096"/>
    <w:rsid w:val="00F45572"/>
    <w:rsid w:val="00F4598E"/>
    <w:rsid w:val="00F45A2B"/>
    <w:rsid w:val="00F45B33"/>
    <w:rsid w:val="00F4656B"/>
    <w:rsid w:val="00F4721B"/>
    <w:rsid w:val="00F4755F"/>
    <w:rsid w:val="00F503E2"/>
    <w:rsid w:val="00F5050E"/>
    <w:rsid w:val="00F50D94"/>
    <w:rsid w:val="00F51183"/>
    <w:rsid w:val="00F51802"/>
    <w:rsid w:val="00F51C8D"/>
    <w:rsid w:val="00F52FA1"/>
    <w:rsid w:val="00F53DD3"/>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1DFE"/>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4A8"/>
    <w:rsid w:val="00F87705"/>
    <w:rsid w:val="00F87983"/>
    <w:rsid w:val="00F87D1B"/>
    <w:rsid w:val="00F90904"/>
    <w:rsid w:val="00F914D4"/>
    <w:rsid w:val="00F91A95"/>
    <w:rsid w:val="00F91AB7"/>
    <w:rsid w:val="00F91C84"/>
    <w:rsid w:val="00F9205A"/>
    <w:rsid w:val="00F92158"/>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4E3D"/>
    <w:rsid w:val="00FB502A"/>
    <w:rsid w:val="00FB50E1"/>
    <w:rsid w:val="00FB76B8"/>
    <w:rsid w:val="00FB7BB4"/>
    <w:rsid w:val="00FC02D6"/>
    <w:rsid w:val="00FC0BDF"/>
    <w:rsid w:val="00FC187B"/>
    <w:rsid w:val="00FC2582"/>
    <w:rsid w:val="00FC25F6"/>
    <w:rsid w:val="00FC2B12"/>
    <w:rsid w:val="00FC31AC"/>
    <w:rsid w:val="00FC34C7"/>
    <w:rsid w:val="00FC3722"/>
    <w:rsid w:val="00FC3E08"/>
    <w:rsid w:val="00FC42FA"/>
    <w:rsid w:val="00FC5349"/>
    <w:rsid w:val="00FC57E1"/>
    <w:rsid w:val="00FC6015"/>
    <w:rsid w:val="00FC6F87"/>
    <w:rsid w:val="00FD064C"/>
    <w:rsid w:val="00FD1896"/>
    <w:rsid w:val="00FD36D3"/>
    <w:rsid w:val="00FD3B35"/>
    <w:rsid w:val="00FD3F75"/>
    <w:rsid w:val="00FD4168"/>
    <w:rsid w:val="00FD4263"/>
    <w:rsid w:val="00FD4282"/>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0290"/>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character" w:customStyle="1" w:styleId="UnresolvedMention2">
    <w:name w:val="Unresolved Mention2"/>
    <w:basedOn w:val="DefaultParagraphFont"/>
    <w:uiPriority w:val="99"/>
    <w:semiHidden/>
    <w:unhideWhenUsed/>
    <w:rsid w:val="00B6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EBFE-66BF-48E0-A180-45ACE2D8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5433</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6</cp:revision>
  <cp:lastPrinted>2022-10-07T15:29:00Z</cp:lastPrinted>
  <dcterms:created xsi:type="dcterms:W3CDTF">2023-03-28T20:56:00Z</dcterms:created>
  <dcterms:modified xsi:type="dcterms:W3CDTF">2023-04-24T14:51:00Z</dcterms:modified>
</cp:coreProperties>
</file>