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049F5B5F" w:rsidR="00296592" w:rsidRPr="003D49D5" w:rsidRDefault="00EF19E1" w:rsidP="003D49D5">
      <w:pPr>
        <w:tabs>
          <w:tab w:val="left" w:pos="540"/>
          <w:tab w:val="left" w:pos="2550"/>
        </w:tabs>
        <w:spacing w:line="360" w:lineRule="auto"/>
        <w:rPr>
          <w:rStyle w:val="ICBAbold"/>
        </w:rPr>
      </w:pPr>
      <w:r w:rsidRPr="003D49D5">
        <w:rPr>
          <w:rStyle w:val="ICBAbold"/>
        </w:rPr>
        <w:t>May</w:t>
      </w:r>
      <w:r w:rsidR="004A1223" w:rsidRPr="003D49D5">
        <w:rPr>
          <w:rStyle w:val="ICBAbold"/>
        </w:rPr>
        <w:t xml:space="preserve"> 2022</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2FAFA8F6" w14:textId="77777777" w:rsidR="00F86B09" w:rsidRPr="003D49D5"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15AA0F23" w:rsidR="007A2F87" w:rsidRPr="003D49D5" w:rsidRDefault="009C7D32" w:rsidP="003D49D5">
      <w:pPr>
        <w:tabs>
          <w:tab w:val="left" w:pos="540"/>
        </w:tabs>
        <w:spacing w:line="360" w:lineRule="auto"/>
        <w:rPr>
          <w:rStyle w:val="ICBAbold"/>
        </w:rPr>
      </w:pPr>
      <w:r w:rsidRPr="003D49D5">
        <w:rPr>
          <w:rStyle w:val="ICBAbold"/>
          <w:b w:val="0"/>
          <w:color w:val="FF0000"/>
        </w:rPr>
        <w:t xml:space="preserve">[hed] </w:t>
      </w:r>
      <w:r w:rsidR="00EF19E1" w:rsidRPr="003D49D5">
        <w:rPr>
          <w:rStyle w:val="ICBAbold"/>
          <w:bCs/>
        </w:rPr>
        <w:t xml:space="preserve">Mayday for </w:t>
      </w:r>
      <w:r w:rsidR="00C56651">
        <w:rPr>
          <w:rStyle w:val="ICBAbold"/>
          <w:bCs/>
        </w:rPr>
        <w:t>m</w:t>
      </w:r>
      <w:r w:rsidR="00C56651" w:rsidRPr="003D49D5">
        <w:rPr>
          <w:rStyle w:val="ICBAbold"/>
          <w:bCs/>
        </w:rPr>
        <w:t>ortgages</w:t>
      </w:r>
      <w:r w:rsidR="00EF19E1" w:rsidRPr="003D49D5">
        <w:rPr>
          <w:rStyle w:val="ICBAbold"/>
          <w:bCs/>
        </w:rPr>
        <w:t>?</w:t>
      </w:r>
    </w:p>
    <w:p w14:paraId="24EAFA45" w14:textId="77777777" w:rsidR="009C7D32" w:rsidRPr="003D49D5" w:rsidRDefault="009C7D32" w:rsidP="003D49D5">
      <w:pPr>
        <w:tabs>
          <w:tab w:val="left" w:pos="540"/>
        </w:tabs>
        <w:spacing w:line="360" w:lineRule="auto"/>
        <w:rPr>
          <w:rStyle w:val="ICBAbold"/>
          <w:b w:val="0"/>
        </w:rPr>
      </w:pPr>
    </w:p>
    <w:p w14:paraId="658FE2D6" w14:textId="142CDB8A" w:rsidR="004C4F00" w:rsidRPr="003D49D5" w:rsidRDefault="009C7D32" w:rsidP="003D49D5">
      <w:pPr>
        <w:tabs>
          <w:tab w:val="left" w:pos="540"/>
        </w:tabs>
        <w:spacing w:line="360" w:lineRule="auto"/>
        <w:rPr>
          <w:rStyle w:val="ICBAbold"/>
          <w:b w:val="0"/>
        </w:rPr>
      </w:pPr>
      <w:r w:rsidRPr="003D49D5">
        <w:rPr>
          <w:rStyle w:val="ICBAbold"/>
          <w:b w:val="0"/>
          <w:color w:val="FF0000"/>
        </w:rPr>
        <w:t xml:space="preserve">[dek] </w:t>
      </w:r>
      <w:r w:rsidR="00EF19E1" w:rsidRPr="003D49D5">
        <w:rPr>
          <w:bCs/>
        </w:rPr>
        <w:t>Rising borrower costs have consequences for MBS</w:t>
      </w:r>
      <w:r w:rsidR="003D49D5">
        <w:rPr>
          <w:bCs/>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By Jim Reber,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60F70283" w:rsidR="009C7D32" w:rsidRPr="003D49D5" w:rsidRDefault="009C7D32" w:rsidP="003D49D5">
      <w:pPr>
        <w:tabs>
          <w:tab w:val="left" w:pos="540"/>
        </w:tabs>
        <w:spacing w:line="360" w:lineRule="auto"/>
        <w:rPr>
          <w:rStyle w:val="ICBAbold"/>
          <w:b w:val="0"/>
          <w:color w:val="FF0000"/>
        </w:rPr>
      </w:pPr>
      <w:r w:rsidRPr="003D49D5">
        <w:rPr>
          <w:rStyle w:val="ICBAbold"/>
          <w:b w:val="0"/>
          <w:color w:val="FF0000"/>
        </w:rPr>
        <w:t>[body]</w:t>
      </w:r>
    </w:p>
    <w:p w14:paraId="0100D51D" w14:textId="38136D6F" w:rsidR="00E33B63" w:rsidRPr="003D49D5" w:rsidRDefault="00E33B63" w:rsidP="003D49D5">
      <w:pPr>
        <w:tabs>
          <w:tab w:val="left" w:pos="540"/>
        </w:tabs>
        <w:spacing w:line="360" w:lineRule="auto"/>
        <w:rPr>
          <w:rStyle w:val="ICBAbold"/>
          <w:b w:val="0"/>
        </w:rPr>
      </w:pPr>
      <w:r w:rsidRPr="003D49D5">
        <w:rPr>
          <w:rStyle w:val="ICBAbold"/>
          <w:b w:val="0"/>
        </w:rPr>
        <w:t xml:space="preserve">The term “May Day” has generally positive connotations. In many European countries it celebrated the end of winter, with happy children dancing around a maypole. </w:t>
      </w:r>
      <w:r w:rsidR="00F96FFB" w:rsidRPr="003D49D5">
        <w:rPr>
          <w:rStyle w:val="ICBAbold"/>
          <w:b w:val="0"/>
        </w:rPr>
        <w:t>The celebrants would sing s</w:t>
      </w:r>
      <w:r w:rsidRPr="003D49D5">
        <w:rPr>
          <w:rStyle w:val="ICBAbold"/>
          <w:b w:val="0"/>
        </w:rPr>
        <w:t xml:space="preserve">ongs, </w:t>
      </w:r>
      <w:r w:rsidR="00F96FFB" w:rsidRPr="003D49D5">
        <w:rPr>
          <w:rStyle w:val="ICBAbold"/>
          <w:b w:val="0"/>
        </w:rPr>
        <w:t>crown</w:t>
      </w:r>
      <w:r w:rsidRPr="003D49D5">
        <w:rPr>
          <w:rStyle w:val="ICBAbold"/>
          <w:b w:val="0"/>
        </w:rPr>
        <w:t xml:space="preserve"> </w:t>
      </w:r>
      <w:r w:rsidR="00F96FFB" w:rsidRPr="003D49D5">
        <w:rPr>
          <w:rStyle w:val="ICBAbold"/>
          <w:b w:val="0"/>
        </w:rPr>
        <w:t>a Ma</w:t>
      </w:r>
      <w:r w:rsidRPr="003D49D5">
        <w:rPr>
          <w:rStyle w:val="ICBAbold"/>
          <w:b w:val="0"/>
        </w:rPr>
        <w:t xml:space="preserve">y Queen and </w:t>
      </w:r>
      <w:r w:rsidR="00F96FFB" w:rsidRPr="003D49D5">
        <w:rPr>
          <w:rStyle w:val="ICBAbold"/>
          <w:b w:val="0"/>
        </w:rPr>
        <w:t xml:space="preserve">look forward to a prosperous growing season. </w:t>
      </w:r>
    </w:p>
    <w:p w14:paraId="302A2267" w14:textId="5C5A0C3F" w:rsidR="00F96FFB" w:rsidRPr="003D49D5" w:rsidRDefault="00F96FFB" w:rsidP="003D49D5">
      <w:pPr>
        <w:tabs>
          <w:tab w:val="left" w:pos="540"/>
        </w:tabs>
        <w:spacing w:line="360" w:lineRule="auto"/>
        <w:rPr>
          <w:rStyle w:val="ICBAbold"/>
          <w:b w:val="0"/>
        </w:rPr>
      </w:pPr>
      <w:r w:rsidRPr="003D49D5">
        <w:rPr>
          <w:rStyle w:val="ICBAbold"/>
          <w:b w:val="0"/>
        </w:rPr>
        <w:t>The term “mayday” is something altogether different</w:t>
      </w:r>
      <w:r w:rsidR="006A270B" w:rsidRPr="003D49D5">
        <w:rPr>
          <w:rStyle w:val="ICBAbold"/>
          <w:b w:val="0"/>
        </w:rPr>
        <w:t>;</w:t>
      </w:r>
      <w:r w:rsidRPr="003D49D5">
        <w:rPr>
          <w:rStyle w:val="ICBAbold"/>
          <w:b w:val="0"/>
        </w:rPr>
        <w:t xml:space="preserve"> </w:t>
      </w:r>
      <w:r w:rsidR="006A270B" w:rsidRPr="003D49D5">
        <w:rPr>
          <w:rStyle w:val="ICBAbold"/>
          <w:b w:val="0"/>
        </w:rPr>
        <w:t>i</w:t>
      </w:r>
      <w:r w:rsidRPr="003D49D5">
        <w:rPr>
          <w:rStyle w:val="ICBAbold"/>
          <w:b w:val="0"/>
        </w:rPr>
        <w:t>ts origins are barely a century old</w:t>
      </w:r>
      <w:r w:rsidR="006A270B" w:rsidRPr="003D49D5">
        <w:rPr>
          <w:rStyle w:val="ICBAbold"/>
          <w:b w:val="0"/>
        </w:rPr>
        <w:t xml:space="preserve"> and decidedly less celebratory</w:t>
      </w:r>
      <w:r w:rsidRPr="003D49D5">
        <w:rPr>
          <w:rStyle w:val="ICBAbold"/>
          <w:b w:val="0"/>
        </w:rPr>
        <w:t xml:space="preserve">. </w:t>
      </w:r>
      <w:r w:rsidR="007641A8" w:rsidRPr="003D49D5">
        <w:rPr>
          <w:rStyle w:val="ICBAbold"/>
          <w:b w:val="0"/>
        </w:rPr>
        <w:t>I</w:t>
      </w:r>
      <w:r w:rsidRPr="003D49D5">
        <w:rPr>
          <w:rStyle w:val="ICBAbold"/>
          <w:b w:val="0"/>
        </w:rPr>
        <w:t xml:space="preserve">t’s used as an international distress signal, </w:t>
      </w:r>
      <w:r w:rsidR="006A270B" w:rsidRPr="003D49D5">
        <w:rPr>
          <w:rStyle w:val="ICBAbold"/>
          <w:b w:val="0"/>
        </w:rPr>
        <w:t>mainl</w:t>
      </w:r>
      <w:r w:rsidRPr="003D49D5">
        <w:rPr>
          <w:rStyle w:val="ICBAbold"/>
          <w:b w:val="0"/>
        </w:rPr>
        <w:t xml:space="preserve">y </w:t>
      </w:r>
      <w:r w:rsidR="00932C40" w:rsidRPr="003D49D5">
        <w:rPr>
          <w:rStyle w:val="ICBAbold"/>
          <w:b w:val="0"/>
        </w:rPr>
        <w:t xml:space="preserve">for </w:t>
      </w:r>
      <w:r w:rsidRPr="003D49D5">
        <w:rPr>
          <w:rStyle w:val="ICBAbold"/>
          <w:b w:val="0"/>
        </w:rPr>
        <w:t>aviat</w:t>
      </w:r>
      <w:r w:rsidR="00932C40" w:rsidRPr="003D49D5">
        <w:rPr>
          <w:rStyle w:val="ICBAbold"/>
          <w:b w:val="0"/>
        </w:rPr>
        <w:t>ors</w:t>
      </w:r>
      <w:r w:rsidRPr="003D49D5">
        <w:rPr>
          <w:rStyle w:val="ICBAbold"/>
          <w:b w:val="0"/>
        </w:rPr>
        <w:t xml:space="preserve">. As we proceed into the spring of 2022, many investment managers are wondering if it’s time to sound the mayday alarm about their mortgage securities, which have been losing altitude and market value for several quarters now. </w:t>
      </w:r>
      <w:r w:rsidR="006A270B" w:rsidRPr="003D49D5">
        <w:rPr>
          <w:rStyle w:val="ICBAbold"/>
          <w:b w:val="0"/>
        </w:rPr>
        <w:t xml:space="preserve">And, as we’ll see, their attendant cash flows, which were </w:t>
      </w:r>
      <w:r w:rsidR="00100103" w:rsidRPr="003D49D5">
        <w:rPr>
          <w:rStyle w:val="ICBAbold"/>
          <w:b w:val="0"/>
        </w:rPr>
        <w:t>running at record high levels</w:t>
      </w:r>
      <w:r w:rsidR="006A270B" w:rsidRPr="003D49D5">
        <w:rPr>
          <w:rStyle w:val="ICBAbold"/>
          <w:b w:val="0"/>
        </w:rPr>
        <w:t xml:space="preserve"> just a year ago, </w:t>
      </w:r>
      <w:r w:rsidR="006153D0" w:rsidRPr="003D49D5">
        <w:rPr>
          <w:rStyle w:val="ICBAbold"/>
          <w:b w:val="0"/>
        </w:rPr>
        <w:t xml:space="preserve">are hovering barely aloft. </w:t>
      </w:r>
      <w:r w:rsidR="006A270B" w:rsidRPr="003D49D5">
        <w:rPr>
          <w:rStyle w:val="ICBAbold"/>
          <w:b w:val="0"/>
        </w:rPr>
        <w:t xml:space="preserve"> </w:t>
      </w:r>
    </w:p>
    <w:p w14:paraId="4A423A03" w14:textId="77777777" w:rsidR="00E33B63" w:rsidRPr="003D49D5" w:rsidRDefault="00E33B63" w:rsidP="003D49D5">
      <w:pPr>
        <w:tabs>
          <w:tab w:val="left" w:pos="540"/>
        </w:tabs>
        <w:spacing w:line="360" w:lineRule="auto"/>
        <w:rPr>
          <w:rStyle w:val="ICBAbold"/>
          <w:b w:val="0"/>
        </w:rPr>
      </w:pPr>
    </w:p>
    <w:p w14:paraId="188BF7EF" w14:textId="352AC067" w:rsidR="003653F6" w:rsidRPr="003D49D5" w:rsidRDefault="009E1EFF" w:rsidP="003D49D5">
      <w:pPr>
        <w:tabs>
          <w:tab w:val="left" w:pos="540"/>
        </w:tabs>
        <w:spacing w:line="360" w:lineRule="auto"/>
        <w:rPr>
          <w:rStyle w:val="ICBAbold"/>
          <w:bCs/>
        </w:rPr>
      </w:pPr>
      <w:r w:rsidRPr="00531C4A">
        <w:rPr>
          <w:rStyle w:val="ICBAbold"/>
          <w:b w:val="0"/>
          <w:color w:val="FF0000"/>
        </w:rPr>
        <w:t>[subhed]</w:t>
      </w:r>
      <w:r w:rsidR="00932C40" w:rsidRPr="00531C4A">
        <w:rPr>
          <w:rStyle w:val="ICBAbold"/>
          <w:bCs/>
          <w:color w:val="FF0000"/>
        </w:rPr>
        <w:t xml:space="preserve"> </w:t>
      </w:r>
      <w:r w:rsidR="00932C40" w:rsidRPr="003D49D5">
        <w:rPr>
          <w:rStyle w:val="ICBAbold"/>
          <w:bCs/>
        </w:rPr>
        <w:t>It matters to most</w:t>
      </w:r>
    </w:p>
    <w:p w14:paraId="3C79D8F1" w14:textId="0594AD53" w:rsidR="00EB68DE" w:rsidRPr="003D49D5" w:rsidRDefault="00932C40" w:rsidP="003D49D5">
      <w:pPr>
        <w:tabs>
          <w:tab w:val="left" w:pos="540"/>
        </w:tabs>
        <w:spacing w:line="360" w:lineRule="auto"/>
        <w:rPr>
          <w:rStyle w:val="ICBAbold"/>
          <w:b w:val="0"/>
        </w:rPr>
      </w:pPr>
      <w:r w:rsidRPr="003D49D5">
        <w:rPr>
          <w:rStyle w:val="ICBAbold"/>
          <w:b w:val="0"/>
        </w:rPr>
        <w:t xml:space="preserve">There’s really no way to </w:t>
      </w:r>
      <w:r w:rsidR="0072672C" w:rsidRPr="003D49D5">
        <w:rPr>
          <w:rStyle w:val="ICBAbold"/>
          <w:b w:val="0"/>
        </w:rPr>
        <w:t>downplay</w:t>
      </w:r>
      <w:r w:rsidRPr="003D49D5">
        <w:rPr>
          <w:rStyle w:val="ICBAbold"/>
          <w:b w:val="0"/>
        </w:rPr>
        <w:t xml:space="preserve"> the importance of mortgage-backed securities (MBS) to community banks.</w:t>
      </w:r>
      <w:r w:rsidR="00B23CC3" w:rsidRPr="003D49D5">
        <w:rPr>
          <w:rStyle w:val="ICBAbold"/>
          <w:b w:val="0"/>
        </w:rPr>
        <w:t xml:space="preserve"> When we </w:t>
      </w:r>
      <w:r w:rsidR="00605318" w:rsidRPr="003D49D5">
        <w:rPr>
          <w:rStyle w:val="ICBAbold"/>
          <w:b w:val="0"/>
        </w:rPr>
        <w:t>account for</w:t>
      </w:r>
      <w:r w:rsidR="00B23CC3" w:rsidRPr="003D49D5">
        <w:rPr>
          <w:rStyle w:val="ICBAbold"/>
          <w:b w:val="0"/>
        </w:rPr>
        <w:t xml:space="preserve"> all the various permutations of amortizing bonds, they make up more than </w:t>
      </w:r>
      <w:r w:rsidR="00605318" w:rsidRPr="003D49D5">
        <w:rPr>
          <w:rStyle w:val="ICBAbold"/>
          <w:b w:val="0"/>
        </w:rPr>
        <w:t>half</w:t>
      </w:r>
      <w:r w:rsidR="00B23CC3" w:rsidRPr="003D49D5">
        <w:rPr>
          <w:rStyle w:val="ICBAbold"/>
          <w:b w:val="0"/>
        </w:rPr>
        <w:t xml:space="preserve"> the investments in all the</w:t>
      </w:r>
      <w:r w:rsidR="00C56651">
        <w:rPr>
          <w:rStyle w:val="ICBAbold"/>
          <w:b w:val="0"/>
        </w:rPr>
        <w:t xml:space="preserve"> industry’s</w:t>
      </w:r>
      <w:r w:rsidR="00B23CC3" w:rsidRPr="003D49D5">
        <w:rPr>
          <w:rStyle w:val="ICBAbold"/>
          <w:b w:val="0"/>
        </w:rPr>
        <w:t xml:space="preserve"> bond portfolios. </w:t>
      </w:r>
      <w:r w:rsidR="00BE73F5" w:rsidRPr="003D49D5">
        <w:rPr>
          <w:rStyle w:val="ICBAbold"/>
          <w:b w:val="0"/>
        </w:rPr>
        <w:t>W</w:t>
      </w:r>
      <w:r w:rsidR="00B23CC3" w:rsidRPr="003D49D5">
        <w:rPr>
          <w:rStyle w:val="ICBAbold"/>
          <w:b w:val="0"/>
        </w:rPr>
        <w:t>e know that your collection of bonds is far larger than just two years ago (in some case</w:t>
      </w:r>
      <w:r w:rsidR="0009641E" w:rsidRPr="003D49D5">
        <w:rPr>
          <w:rStyle w:val="ICBAbold"/>
          <w:b w:val="0"/>
        </w:rPr>
        <w:t>s</w:t>
      </w:r>
      <w:r w:rsidR="00C56651">
        <w:rPr>
          <w:rStyle w:val="ICBAbold"/>
          <w:b w:val="0"/>
        </w:rPr>
        <w:t>,</w:t>
      </w:r>
      <w:r w:rsidR="00B23CC3" w:rsidRPr="003D49D5">
        <w:rPr>
          <w:rStyle w:val="ICBAbold"/>
          <w:b w:val="0"/>
        </w:rPr>
        <w:t xml:space="preserve"> double or triple in size), </w:t>
      </w:r>
      <w:r w:rsidR="00BE73F5" w:rsidRPr="003D49D5">
        <w:rPr>
          <w:rStyle w:val="ICBAbold"/>
          <w:b w:val="0"/>
        </w:rPr>
        <w:t xml:space="preserve">so </w:t>
      </w:r>
      <w:r w:rsidR="00B23CC3" w:rsidRPr="003D49D5">
        <w:rPr>
          <w:rStyle w:val="ICBAbold"/>
          <w:b w:val="0"/>
        </w:rPr>
        <w:t xml:space="preserve">MBS performance has a substantial impact on bottom lines. </w:t>
      </w:r>
    </w:p>
    <w:p w14:paraId="006EFF20" w14:textId="33C9F3DD" w:rsidR="00B23CC3" w:rsidRPr="003D49D5" w:rsidRDefault="00B23CC3" w:rsidP="003D49D5">
      <w:pPr>
        <w:tabs>
          <w:tab w:val="left" w:pos="540"/>
        </w:tabs>
        <w:spacing w:line="360" w:lineRule="auto"/>
        <w:rPr>
          <w:rStyle w:val="ICBAbold"/>
          <w:b w:val="0"/>
        </w:rPr>
      </w:pPr>
      <w:r w:rsidRPr="003D49D5">
        <w:rPr>
          <w:rStyle w:val="ICBAbold"/>
          <w:b w:val="0"/>
        </w:rPr>
        <w:lastRenderedPageBreak/>
        <w:t xml:space="preserve">A couple of other quantitative comments: First, the mortgage lending industry </w:t>
      </w:r>
      <w:r w:rsidR="00B53D15" w:rsidRPr="003D49D5">
        <w:rPr>
          <w:rStyle w:val="ICBAbold"/>
          <w:b w:val="0"/>
        </w:rPr>
        <w:t xml:space="preserve">is producing as much long-term fixed rate product as it ever has. </w:t>
      </w:r>
      <w:r w:rsidR="00493179" w:rsidRPr="003D49D5">
        <w:rPr>
          <w:rStyle w:val="ICBAbold"/>
          <w:b w:val="0"/>
        </w:rPr>
        <w:t xml:space="preserve">Adjustable-rate mortgages (ARMs) have recently been just 5% of new production, and even those usually have long, fixed rate initial terms before they become true floaters. Around 88% of outstanding mortgages began life as generic 30-year paper. </w:t>
      </w:r>
      <w:r w:rsidR="00BE73F5" w:rsidRPr="003D49D5">
        <w:rPr>
          <w:rStyle w:val="ICBAbold"/>
          <w:b w:val="0"/>
        </w:rPr>
        <w:t>Still, there is adequate</w:t>
      </w:r>
      <w:r w:rsidR="00493179" w:rsidRPr="003D49D5">
        <w:rPr>
          <w:rStyle w:val="ICBAbold"/>
          <w:b w:val="0"/>
        </w:rPr>
        <w:t xml:space="preserve"> supply, and </w:t>
      </w:r>
      <w:r w:rsidR="00BE73F5" w:rsidRPr="003D49D5">
        <w:rPr>
          <w:rStyle w:val="ICBAbold"/>
          <w:b w:val="0"/>
        </w:rPr>
        <w:t>reasonable</w:t>
      </w:r>
      <w:r w:rsidR="00493179" w:rsidRPr="003D49D5">
        <w:rPr>
          <w:rStyle w:val="ICBAbold"/>
          <w:b w:val="0"/>
        </w:rPr>
        <w:t xml:space="preserve"> spreads, of MBS varieties favored by community banks</w:t>
      </w:r>
      <w:r w:rsidR="006153D0" w:rsidRPr="003D49D5">
        <w:rPr>
          <w:rStyle w:val="ICBAbold"/>
          <w:b w:val="0"/>
        </w:rPr>
        <w:t>, which are the</w:t>
      </w:r>
      <w:r w:rsidR="00493179" w:rsidRPr="003D49D5">
        <w:rPr>
          <w:rStyle w:val="ICBAbold"/>
          <w:b w:val="0"/>
        </w:rPr>
        <w:t xml:space="preserve"> 10- to 20-year pools. </w:t>
      </w:r>
    </w:p>
    <w:p w14:paraId="37E552E9" w14:textId="3FB47757" w:rsidR="00B76AFB" w:rsidRPr="003D49D5" w:rsidRDefault="00B76AFB" w:rsidP="003D49D5">
      <w:pPr>
        <w:tabs>
          <w:tab w:val="left" w:pos="540"/>
        </w:tabs>
        <w:spacing w:line="360" w:lineRule="auto"/>
        <w:rPr>
          <w:rStyle w:val="ICBAbold"/>
          <w:b w:val="0"/>
        </w:rPr>
      </w:pPr>
    </w:p>
    <w:p w14:paraId="17D11650" w14:textId="48CFB67A" w:rsidR="00272D2A" w:rsidRPr="003D49D5" w:rsidRDefault="009E1EFF" w:rsidP="003D49D5">
      <w:pPr>
        <w:tabs>
          <w:tab w:val="left" w:pos="540"/>
        </w:tabs>
        <w:spacing w:line="360" w:lineRule="auto"/>
        <w:rPr>
          <w:rStyle w:val="ICBAbold"/>
          <w:bCs/>
        </w:rPr>
      </w:pPr>
      <w:r w:rsidRPr="00531C4A">
        <w:rPr>
          <w:rStyle w:val="ICBAbold"/>
          <w:b w:val="0"/>
          <w:color w:val="FF0000"/>
        </w:rPr>
        <w:t>[subhed]</w:t>
      </w:r>
      <w:r w:rsidRPr="00531C4A">
        <w:rPr>
          <w:rStyle w:val="ICBAbold"/>
          <w:bCs/>
          <w:color w:val="FF0000"/>
        </w:rPr>
        <w:t xml:space="preserve"> </w:t>
      </w:r>
      <w:r w:rsidR="00AD625A" w:rsidRPr="003D49D5">
        <w:rPr>
          <w:rStyle w:val="ICBAbold"/>
          <w:bCs/>
        </w:rPr>
        <w:t>Pushed to the limit?</w:t>
      </w:r>
    </w:p>
    <w:p w14:paraId="20E03769" w14:textId="5D7E9CD5" w:rsidR="002F6BC5" w:rsidRPr="003D49D5" w:rsidRDefault="00301B99" w:rsidP="003D49D5">
      <w:pPr>
        <w:tabs>
          <w:tab w:val="left" w:pos="540"/>
        </w:tabs>
        <w:spacing w:line="360" w:lineRule="auto"/>
        <w:rPr>
          <w:rStyle w:val="ICBAbold"/>
          <w:b w:val="0"/>
        </w:rPr>
      </w:pPr>
      <w:r w:rsidRPr="003D49D5">
        <w:rPr>
          <w:rStyle w:val="ICBAbold"/>
          <w:b w:val="0"/>
        </w:rPr>
        <w:t>T</w:t>
      </w:r>
      <w:r w:rsidR="00605318" w:rsidRPr="003D49D5">
        <w:rPr>
          <w:rStyle w:val="ICBAbold"/>
          <w:b w:val="0"/>
        </w:rPr>
        <w:t xml:space="preserve">o this </w:t>
      </w:r>
      <w:r w:rsidRPr="003D49D5">
        <w:rPr>
          <w:rStyle w:val="ICBAbold"/>
          <w:b w:val="0"/>
        </w:rPr>
        <w:t xml:space="preserve">frothy mix add </w:t>
      </w:r>
      <w:r w:rsidR="00605318" w:rsidRPr="003D49D5">
        <w:rPr>
          <w:rStyle w:val="ICBAbold"/>
          <w:b w:val="0"/>
        </w:rPr>
        <w:t xml:space="preserve">the fact that mortgage rates have headed north since the beginning of 2022. As of this writing, </w:t>
      </w:r>
      <w:r w:rsidR="007D7B64" w:rsidRPr="003D49D5">
        <w:rPr>
          <w:rStyle w:val="ICBAbold"/>
          <w:b w:val="0"/>
        </w:rPr>
        <w:t xml:space="preserve">the </w:t>
      </w:r>
      <w:r w:rsidRPr="003D49D5">
        <w:rPr>
          <w:rStyle w:val="ICBAbold"/>
          <w:b w:val="0"/>
        </w:rPr>
        <w:t xml:space="preserve">average conventional </w:t>
      </w:r>
      <w:r w:rsidR="00776886" w:rsidRPr="003D49D5">
        <w:rPr>
          <w:rStyle w:val="ICBAbold"/>
          <w:b w:val="0"/>
        </w:rPr>
        <w:t xml:space="preserve">mortgage offering is now over 4%, </w:t>
      </w:r>
      <w:r w:rsidR="007214D8" w:rsidRPr="003D49D5">
        <w:rPr>
          <w:rStyle w:val="ICBAbold"/>
          <w:b w:val="0"/>
        </w:rPr>
        <w:t xml:space="preserve">after averaging just 3.21% in 2020-21. This means that anyone who took out a mortgage, and more importantly refinanced a mortgage, over the </w:t>
      </w:r>
      <w:r w:rsidR="00C56651">
        <w:rPr>
          <w:rStyle w:val="ICBAbold"/>
          <w:b w:val="0"/>
        </w:rPr>
        <w:t>p</w:t>
      </w:r>
      <w:r w:rsidR="00C56651" w:rsidRPr="003D49D5">
        <w:rPr>
          <w:rStyle w:val="ICBAbold"/>
          <w:b w:val="0"/>
        </w:rPr>
        <w:t xml:space="preserve">ast </w:t>
      </w:r>
      <w:r w:rsidR="007214D8" w:rsidRPr="003D49D5">
        <w:rPr>
          <w:rStyle w:val="ICBAbold"/>
          <w:b w:val="0"/>
        </w:rPr>
        <w:t>two year</w:t>
      </w:r>
      <w:r w:rsidR="007D7B64" w:rsidRPr="003D49D5">
        <w:rPr>
          <w:rStyle w:val="ICBAbold"/>
          <w:b w:val="0"/>
        </w:rPr>
        <w:t>s</w:t>
      </w:r>
      <w:r w:rsidR="007214D8" w:rsidRPr="003D49D5">
        <w:rPr>
          <w:rStyle w:val="ICBAbold"/>
          <w:b w:val="0"/>
        </w:rPr>
        <w:t xml:space="preserve"> is now out-of-the</w:t>
      </w:r>
      <w:r w:rsidR="00C56651">
        <w:rPr>
          <w:rStyle w:val="ICBAbold"/>
          <w:b w:val="0"/>
        </w:rPr>
        <w:t>-</w:t>
      </w:r>
      <w:r w:rsidR="007214D8" w:rsidRPr="003D49D5">
        <w:rPr>
          <w:rStyle w:val="ICBAbold"/>
          <w:b w:val="0"/>
        </w:rPr>
        <w:t>money for refinancing. And that is a lot of loans.</w:t>
      </w:r>
    </w:p>
    <w:p w14:paraId="76C01F9C" w14:textId="24927E01" w:rsidR="007214D8" w:rsidRPr="003D49D5" w:rsidRDefault="007214D8" w:rsidP="003D49D5">
      <w:pPr>
        <w:tabs>
          <w:tab w:val="left" w:pos="540"/>
        </w:tabs>
        <w:spacing w:line="360" w:lineRule="auto"/>
        <w:rPr>
          <w:rStyle w:val="ICBAbold"/>
          <w:b w:val="0"/>
        </w:rPr>
      </w:pPr>
      <w:r w:rsidRPr="003D49D5">
        <w:rPr>
          <w:rStyle w:val="ICBAbold"/>
          <w:b w:val="0"/>
        </w:rPr>
        <w:t xml:space="preserve">More </w:t>
      </w:r>
      <w:r w:rsidR="007D7B64" w:rsidRPr="003D49D5">
        <w:rPr>
          <w:rStyle w:val="ICBAbold"/>
          <w:b w:val="0"/>
        </w:rPr>
        <w:t>relevant</w:t>
      </w:r>
      <w:r w:rsidRPr="003D49D5">
        <w:rPr>
          <w:rStyle w:val="ICBAbold"/>
          <w:b w:val="0"/>
        </w:rPr>
        <w:t xml:space="preserve"> in the near term for portfolio managers is the quick evaporation of the monthly cash flow that MBS had provided in the </w:t>
      </w:r>
      <w:r w:rsidR="00C56651">
        <w:rPr>
          <w:rStyle w:val="ICBAbold"/>
          <w:b w:val="0"/>
        </w:rPr>
        <w:t>p</w:t>
      </w:r>
      <w:r w:rsidRPr="003D49D5">
        <w:rPr>
          <w:rStyle w:val="ICBAbold"/>
          <w:b w:val="0"/>
        </w:rPr>
        <w:t xml:space="preserve">ast two years. Using </w:t>
      </w:r>
      <w:r w:rsidR="00451AB4" w:rsidRPr="003D49D5">
        <w:rPr>
          <w:rStyle w:val="ICBAbold"/>
          <w:b w:val="0"/>
        </w:rPr>
        <w:t xml:space="preserve">30-year FNMA 2.5% pools as a test case, </w:t>
      </w:r>
      <w:r w:rsidR="00A44D0F" w:rsidRPr="003D49D5">
        <w:rPr>
          <w:rStyle w:val="ICBAbold"/>
          <w:b w:val="0"/>
        </w:rPr>
        <w:t xml:space="preserve">single-month prepayment activity peaked around a year ago, and cash flows (which are mostly due to refinancings) </w:t>
      </w:r>
      <w:r w:rsidR="00812207" w:rsidRPr="003D49D5">
        <w:rPr>
          <w:rStyle w:val="ICBAbold"/>
          <w:b w:val="0"/>
        </w:rPr>
        <w:t xml:space="preserve">are now less than half they were in mid-2021 (see </w:t>
      </w:r>
      <w:r w:rsidR="00812207" w:rsidRPr="00531C4A">
        <w:rPr>
          <w:rStyle w:val="ICBAbold"/>
          <w:b w:val="0"/>
          <w:color w:val="000000" w:themeColor="text1"/>
        </w:rPr>
        <w:t>Table 1</w:t>
      </w:r>
      <w:r w:rsidR="00812207" w:rsidRPr="003D49D5">
        <w:rPr>
          <w:rStyle w:val="ICBAbold"/>
          <w:b w:val="0"/>
        </w:rPr>
        <w:t xml:space="preserve">). Different cohorts have reacted </w:t>
      </w:r>
      <w:r w:rsidR="006153D0" w:rsidRPr="003D49D5">
        <w:rPr>
          <w:rStyle w:val="ICBAbold"/>
          <w:b w:val="0"/>
        </w:rPr>
        <w:t>to</w:t>
      </w:r>
      <w:r w:rsidR="00812207" w:rsidRPr="003D49D5">
        <w:rPr>
          <w:rStyle w:val="ICBAbold"/>
          <w:b w:val="0"/>
        </w:rPr>
        <w:t xml:space="preserve"> varying degrees, but it’s safe to say that any pools that your community bank has owned for more than six months are now </w:t>
      </w:r>
      <w:r w:rsidR="00BE73F5" w:rsidRPr="003D49D5">
        <w:rPr>
          <w:rStyle w:val="ICBAbold"/>
          <w:b w:val="0"/>
        </w:rPr>
        <w:t>project</w:t>
      </w:r>
      <w:r w:rsidR="00812207" w:rsidRPr="003D49D5">
        <w:rPr>
          <w:rStyle w:val="ICBAbold"/>
          <w:b w:val="0"/>
        </w:rPr>
        <w:t xml:space="preserve">ing longer durations than any time in the </w:t>
      </w:r>
      <w:r w:rsidR="00C56651">
        <w:rPr>
          <w:rStyle w:val="ICBAbold"/>
          <w:b w:val="0"/>
        </w:rPr>
        <w:t>p</w:t>
      </w:r>
      <w:r w:rsidR="00812207" w:rsidRPr="003D49D5">
        <w:rPr>
          <w:rStyle w:val="ICBAbold"/>
          <w:b w:val="0"/>
        </w:rPr>
        <w:t xml:space="preserve">ast two years. </w:t>
      </w:r>
    </w:p>
    <w:p w14:paraId="5B6A6164" w14:textId="0C166C57" w:rsidR="00605318" w:rsidRPr="003D49D5" w:rsidRDefault="00BE73F5" w:rsidP="003D49D5">
      <w:pPr>
        <w:tabs>
          <w:tab w:val="left" w:pos="540"/>
        </w:tabs>
        <w:spacing w:line="360" w:lineRule="auto"/>
        <w:rPr>
          <w:rStyle w:val="ICBAbold"/>
          <w:b w:val="0"/>
        </w:rPr>
      </w:pPr>
      <w:r w:rsidRPr="003D49D5">
        <w:rPr>
          <w:rStyle w:val="ICBAbold"/>
          <w:bCs/>
        </w:rPr>
        <w:tab/>
      </w:r>
    </w:p>
    <w:p w14:paraId="46C62AA4" w14:textId="5346EDB1" w:rsidR="00327F42" w:rsidRPr="003D49D5" w:rsidRDefault="009E1EFF" w:rsidP="003D49D5">
      <w:pPr>
        <w:tabs>
          <w:tab w:val="left" w:pos="540"/>
        </w:tabs>
        <w:spacing w:line="360" w:lineRule="auto"/>
        <w:rPr>
          <w:rStyle w:val="ICBAbold"/>
          <w:bCs/>
        </w:rPr>
      </w:pPr>
      <w:r w:rsidRPr="00531C4A">
        <w:rPr>
          <w:rStyle w:val="ICBAbold"/>
          <w:b w:val="0"/>
          <w:color w:val="FF0000"/>
        </w:rPr>
        <w:t>[subhed]</w:t>
      </w:r>
      <w:r w:rsidRPr="00531C4A">
        <w:rPr>
          <w:rStyle w:val="ICBAbold"/>
          <w:bCs/>
          <w:color w:val="FF0000"/>
        </w:rPr>
        <w:t xml:space="preserve"> </w:t>
      </w:r>
      <w:r w:rsidR="00BE73F5" w:rsidRPr="003D49D5">
        <w:rPr>
          <w:rStyle w:val="ICBAbold"/>
          <w:bCs/>
        </w:rPr>
        <w:t>Cash flow retention routes</w:t>
      </w:r>
    </w:p>
    <w:p w14:paraId="51257D4B" w14:textId="22F8B1E6" w:rsidR="003A114E" w:rsidRPr="003D49D5" w:rsidRDefault="006153D0" w:rsidP="003D49D5">
      <w:pPr>
        <w:tabs>
          <w:tab w:val="left" w:pos="540"/>
        </w:tabs>
        <w:spacing w:line="360" w:lineRule="auto"/>
        <w:rPr>
          <w:rStyle w:val="ICBAbold"/>
          <w:b w:val="0"/>
        </w:rPr>
      </w:pPr>
      <w:r w:rsidRPr="003D49D5">
        <w:rPr>
          <w:rStyle w:val="ICBAbold"/>
          <w:b w:val="0"/>
        </w:rPr>
        <w:t>So</w:t>
      </w:r>
      <w:r w:rsidR="00E1669D">
        <w:rPr>
          <w:rStyle w:val="ICBAbold"/>
          <w:b w:val="0"/>
        </w:rPr>
        <w:t>,</w:t>
      </w:r>
      <w:r w:rsidRPr="003D49D5">
        <w:rPr>
          <w:rStyle w:val="ICBAbold"/>
          <w:b w:val="0"/>
        </w:rPr>
        <w:t xml:space="preserve"> what can we do with all this? There are several strategies that can be employed, starting right now. The most obvious is the “up in coupon” trade. </w:t>
      </w:r>
      <w:r w:rsidR="00DD3E75" w:rsidRPr="003D49D5">
        <w:rPr>
          <w:rStyle w:val="ICBAbold"/>
          <w:b w:val="0"/>
        </w:rPr>
        <w:t xml:space="preserve">Buying premium, versus discount, MBS will </w:t>
      </w:r>
      <w:r w:rsidR="00E35DE4" w:rsidRPr="003D49D5">
        <w:rPr>
          <w:rStyle w:val="ICBAbold"/>
          <w:b w:val="0"/>
        </w:rPr>
        <w:t>both</w:t>
      </w:r>
      <w:r w:rsidR="00DD3E75" w:rsidRPr="003D49D5">
        <w:rPr>
          <w:rStyle w:val="ICBAbold"/>
          <w:b w:val="0"/>
        </w:rPr>
        <w:t xml:space="preserve"> produce more coupon cash flow and will likely create higher cash flows via some continued refis. Recently, a popular structure </w:t>
      </w:r>
      <w:r w:rsidR="006F08F6" w:rsidRPr="003D49D5">
        <w:rPr>
          <w:rStyle w:val="ICBAbold"/>
          <w:b w:val="0"/>
        </w:rPr>
        <w:t>has been</w:t>
      </w:r>
      <w:r w:rsidR="00DD3E75" w:rsidRPr="003D49D5">
        <w:rPr>
          <w:rStyle w:val="ICBAbold"/>
          <w:b w:val="0"/>
        </w:rPr>
        <w:t xml:space="preserve"> a 15-year 2.5% pool</w:t>
      </w:r>
      <w:r w:rsidR="00E35DE4" w:rsidRPr="003D49D5">
        <w:rPr>
          <w:rStyle w:val="ICBAbold"/>
          <w:b w:val="0"/>
        </w:rPr>
        <w:t>. These have recently been</w:t>
      </w:r>
      <w:r w:rsidR="00DD3E75" w:rsidRPr="003D49D5">
        <w:rPr>
          <w:rStyle w:val="ICBAbold"/>
          <w:b w:val="0"/>
        </w:rPr>
        <w:t xml:space="preserve"> available in the 101.0 price range, which is down more than 2% since the start of the year. </w:t>
      </w:r>
    </w:p>
    <w:p w14:paraId="5EF19E34" w14:textId="5BFBB15C" w:rsidR="00E35DE4" w:rsidRPr="003D49D5" w:rsidRDefault="00137144" w:rsidP="003D49D5">
      <w:pPr>
        <w:tabs>
          <w:tab w:val="left" w:pos="540"/>
        </w:tabs>
        <w:spacing w:line="360" w:lineRule="auto"/>
        <w:rPr>
          <w:rStyle w:val="ICBAbold"/>
          <w:b w:val="0"/>
        </w:rPr>
      </w:pPr>
      <w:r w:rsidRPr="003D49D5">
        <w:rPr>
          <w:rStyle w:val="ICBAbold"/>
          <w:b w:val="0"/>
        </w:rPr>
        <w:t xml:space="preserve">This drop in “altitude” (market price) should be a net plus for community banks. While this column has made the point that the avalanche of cash flows has slowed to a crawl, overall the industry is positioned to benefit from higher interest rates. And most banks continue to have at least sufficient liquidity to buy more, lower-priced MBS. So maybe </w:t>
      </w:r>
      <w:r w:rsidR="00675ECC" w:rsidRPr="003D49D5">
        <w:rPr>
          <w:rStyle w:val="ICBAbold"/>
          <w:b w:val="0"/>
        </w:rPr>
        <w:t xml:space="preserve">you don’t need to declare </w:t>
      </w:r>
      <w:r w:rsidR="00675ECC" w:rsidRPr="003D49D5">
        <w:rPr>
          <w:rStyle w:val="ICBAbold"/>
          <w:b w:val="0"/>
        </w:rPr>
        <w:lastRenderedPageBreak/>
        <w:t xml:space="preserve">mayday on your MBS. Perhaps this </w:t>
      </w:r>
      <w:r w:rsidR="00BE73F5" w:rsidRPr="003D49D5">
        <w:rPr>
          <w:rStyle w:val="ICBAbold"/>
          <w:b w:val="0"/>
        </w:rPr>
        <w:t xml:space="preserve">month </w:t>
      </w:r>
      <w:r w:rsidR="00675ECC" w:rsidRPr="003D49D5">
        <w:rPr>
          <w:rStyle w:val="ICBAbold"/>
          <w:b w:val="0"/>
        </w:rPr>
        <w:t xml:space="preserve">it’s time for some purposeful restocking of securities that will produce more stable principal returns, all at more favorable prices. </w:t>
      </w:r>
    </w:p>
    <w:p w14:paraId="2B9E53E0" w14:textId="77777777" w:rsidR="003D49D5" w:rsidRDefault="003D49D5" w:rsidP="003D49D5">
      <w:pPr>
        <w:tabs>
          <w:tab w:val="left" w:pos="540"/>
        </w:tabs>
        <w:spacing w:line="360" w:lineRule="auto"/>
        <w:rPr>
          <w:color w:val="000000" w:themeColor="text1"/>
        </w:rPr>
      </w:pPr>
    </w:p>
    <w:p w14:paraId="6E0B3AC9" w14:textId="517F4028" w:rsidR="003D49D5" w:rsidRPr="00531C4A" w:rsidRDefault="003D49D5" w:rsidP="003D49D5">
      <w:pPr>
        <w:tabs>
          <w:tab w:val="left" w:pos="540"/>
        </w:tabs>
        <w:spacing w:line="360" w:lineRule="auto"/>
        <w:rPr>
          <w:bCs/>
          <w:iCs/>
        </w:rPr>
      </w:pPr>
      <w:r w:rsidRPr="00531C4A">
        <w:rPr>
          <w:rStyle w:val="ICBAbold"/>
          <w:b w:val="0"/>
          <w:bCs/>
          <w:iCs/>
        </w:rPr>
        <w:t>Jim Reber</w:t>
      </w:r>
      <w:r w:rsidRPr="00531C4A">
        <w:rPr>
          <w:bCs/>
          <w:iCs/>
        </w:rPr>
        <w:t xml:space="preserve"> (</w:t>
      </w:r>
      <w:hyperlink r:id="rId6" w:history="1">
        <w:r w:rsidRPr="00E1669D">
          <w:rPr>
            <w:rStyle w:val="Hyperlink"/>
            <w:bCs/>
            <w:i/>
          </w:rPr>
          <w:t>jreber@icbasecurities.com</w:t>
        </w:r>
      </w:hyperlink>
      <w:r w:rsidRPr="00531C4A">
        <w:rPr>
          <w:bCs/>
          <w:iCs/>
        </w:rPr>
        <w:t xml:space="preserve">) is president and CEO of ICBA Securities, ICBA’s institutional, fixed-income broker-dealer for community banks. </w:t>
      </w:r>
    </w:p>
    <w:p w14:paraId="3BC940F3" w14:textId="3E0F7074" w:rsidR="003D49D5" w:rsidRPr="003D49D5" w:rsidRDefault="00C56651" w:rsidP="003D49D5">
      <w:pPr>
        <w:tabs>
          <w:tab w:val="left" w:pos="540"/>
        </w:tabs>
        <w:spacing w:line="360" w:lineRule="auto"/>
        <w:rPr>
          <w:rStyle w:val="ICBAbold"/>
          <w:b w:val="0"/>
        </w:rPr>
      </w:pPr>
      <w:r>
        <w:rPr>
          <w:rStyle w:val="ICBAbold"/>
          <w:b w:val="0"/>
        </w:rPr>
        <w:t>[ends]</w:t>
      </w:r>
    </w:p>
    <w:p w14:paraId="4E7A9D39" w14:textId="39CD8D9C" w:rsidR="00836447" w:rsidRPr="003D49D5" w:rsidRDefault="00836447" w:rsidP="003D49D5">
      <w:pPr>
        <w:tabs>
          <w:tab w:val="left" w:pos="540"/>
        </w:tabs>
        <w:spacing w:line="360" w:lineRule="auto"/>
        <w:rPr>
          <w:color w:val="000000" w:themeColor="text1"/>
        </w:rPr>
      </w:pPr>
    </w:p>
    <w:p w14:paraId="5C0C1D4C" w14:textId="0F496F88" w:rsidR="00D127B2" w:rsidRPr="003D49D5" w:rsidRDefault="005F6DFA" w:rsidP="003D49D5">
      <w:pPr>
        <w:spacing w:line="360" w:lineRule="auto"/>
        <w:rPr>
          <w:rStyle w:val="ICBAbold"/>
          <w:bCs/>
        </w:rPr>
      </w:pPr>
      <w:r w:rsidRPr="00531C4A">
        <w:rPr>
          <w:rStyle w:val="ICBAbold"/>
          <w:b w:val="0"/>
          <w:color w:val="FF0000"/>
        </w:rPr>
        <w:t>[sidebar]</w:t>
      </w:r>
      <w:r w:rsidR="008E2EF6" w:rsidRPr="00531C4A">
        <w:rPr>
          <w:rStyle w:val="ICBAbold"/>
          <w:b w:val="0"/>
          <w:color w:val="FF0000"/>
        </w:rPr>
        <w:t xml:space="preserve"> </w:t>
      </w:r>
      <w:r w:rsidR="00D127B2" w:rsidRPr="003D49D5">
        <w:rPr>
          <w:rStyle w:val="ICBAbold"/>
          <w:bCs/>
        </w:rPr>
        <w:t xml:space="preserve">Education on </w:t>
      </w:r>
      <w:r w:rsidR="008E2EF6" w:rsidRPr="003D49D5">
        <w:rPr>
          <w:rStyle w:val="ICBAbold"/>
          <w:bCs/>
        </w:rPr>
        <w:t>tap</w:t>
      </w:r>
    </w:p>
    <w:p w14:paraId="0F487EBD" w14:textId="23E7C7AA" w:rsidR="009F09CD" w:rsidRPr="003D49D5" w:rsidRDefault="009F09CD" w:rsidP="003D49D5">
      <w:pPr>
        <w:spacing w:line="360" w:lineRule="auto"/>
        <w:rPr>
          <w:rStyle w:val="ICBAbold"/>
          <w:b w:val="0"/>
        </w:rPr>
      </w:pPr>
      <w:r w:rsidRPr="003D49D5">
        <w:rPr>
          <w:rStyle w:val="ICBAbold"/>
          <w:bCs/>
        </w:rPr>
        <w:t xml:space="preserve">2022 </w:t>
      </w:r>
      <w:r w:rsidR="00972C1B" w:rsidRPr="003D49D5">
        <w:rPr>
          <w:rStyle w:val="ICBAbold"/>
          <w:bCs/>
        </w:rPr>
        <w:t xml:space="preserve">webinar </w:t>
      </w:r>
      <w:r w:rsidRPr="003D49D5">
        <w:rPr>
          <w:rStyle w:val="ICBAbold"/>
          <w:bCs/>
        </w:rPr>
        <w:t xml:space="preserve">series </w:t>
      </w:r>
      <w:r w:rsidR="004F5A4C" w:rsidRPr="003D49D5">
        <w:rPr>
          <w:rStyle w:val="ICBAbold"/>
          <w:bCs/>
        </w:rPr>
        <w:t>continues</w:t>
      </w:r>
    </w:p>
    <w:p w14:paraId="08B7D3EA" w14:textId="3650CF80" w:rsidR="009F09CD" w:rsidRPr="003D49D5" w:rsidRDefault="009F09CD" w:rsidP="003D49D5">
      <w:pPr>
        <w:spacing w:line="360" w:lineRule="auto"/>
        <w:rPr>
          <w:rStyle w:val="Hyperlink"/>
        </w:rPr>
      </w:pPr>
      <w:r w:rsidRPr="003D49D5">
        <w:rPr>
          <w:rStyle w:val="ICBAbold"/>
          <w:b w:val="0"/>
        </w:rPr>
        <w:t xml:space="preserve">ICBA Securities and its exclusive broker Vining Sparks </w:t>
      </w:r>
      <w:r w:rsidR="0029771B" w:rsidRPr="003D49D5">
        <w:rPr>
          <w:rStyle w:val="ICBAbold"/>
          <w:b w:val="0"/>
        </w:rPr>
        <w:t xml:space="preserve">present the next installment </w:t>
      </w:r>
      <w:r w:rsidR="0043584C" w:rsidRPr="003D49D5">
        <w:rPr>
          <w:rStyle w:val="ICBAbold"/>
          <w:b w:val="0"/>
        </w:rPr>
        <w:t>o</w:t>
      </w:r>
      <w:r w:rsidR="0029771B" w:rsidRPr="003D49D5">
        <w:rPr>
          <w:rStyle w:val="ICBAbold"/>
          <w:b w:val="0"/>
        </w:rPr>
        <w:t>f the</w:t>
      </w:r>
      <w:r w:rsidR="00972C1B" w:rsidRPr="003D49D5">
        <w:rPr>
          <w:rStyle w:val="ICBAbold"/>
          <w:b w:val="0"/>
        </w:rPr>
        <w:t xml:space="preserve"> </w:t>
      </w:r>
      <w:r w:rsidRPr="003D49D5">
        <w:rPr>
          <w:rStyle w:val="ICBAbold"/>
          <w:b w:val="0"/>
        </w:rPr>
        <w:t xml:space="preserve">2022 Community Banking Matters webinar series on </w:t>
      </w:r>
      <w:r w:rsidR="002C3C76" w:rsidRPr="003D49D5">
        <w:rPr>
          <w:rStyle w:val="ICBAbold"/>
          <w:b w:val="0"/>
        </w:rPr>
        <w:t xml:space="preserve">May </w:t>
      </w:r>
      <w:r w:rsidR="00D92FD0" w:rsidRPr="003D49D5">
        <w:rPr>
          <w:rStyle w:val="ICBAbold"/>
          <w:b w:val="0"/>
        </w:rPr>
        <w:t>10</w:t>
      </w:r>
      <w:r w:rsidRPr="003D49D5">
        <w:rPr>
          <w:rStyle w:val="ICBAbold"/>
          <w:b w:val="0"/>
        </w:rPr>
        <w:t xml:space="preserve"> at 10</w:t>
      </w:r>
      <w:r w:rsidR="00D43A71" w:rsidRPr="003D49D5">
        <w:rPr>
          <w:rStyle w:val="ICBAbold"/>
          <w:b w:val="0"/>
        </w:rPr>
        <w:t xml:space="preserve"> a.m. </w:t>
      </w:r>
      <w:r w:rsidRPr="003D49D5">
        <w:rPr>
          <w:rStyle w:val="ICBAbold"/>
          <w:b w:val="0"/>
        </w:rPr>
        <w:t xml:space="preserve">Central. </w:t>
      </w:r>
      <w:r w:rsidR="0029771B" w:rsidRPr="003D49D5">
        <w:rPr>
          <w:rStyle w:val="ICBAbold"/>
          <w:b w:val="0"/>
        </w:rPr>
        <w:t xml:space="preserve">The topic is </w:t>
      </w:r>
      <w:r w:rsidRPr="003D49D5">
        <w:rPr>
          <w:rStyle w:val="ICBAbold"/>
          <w:b w:val="0"/>
        </w:rPr>
        <w:t>“</w:t>
      </w:r>
      <w:r w:rsidR="0029771B" w:rsidRPr="003D49D5">
        <w:rPr>
          <w:rStyle w:val="ICBAbold"/>
          <w:b w:val="0"/>
        </w:rPr>
        <w:t xml:space="preserve">Balance Sheet </w:t>
      </w:r>
      <w:r w:rsidR="00D92FD0" w:rsidRPr="003D49D5">
        <w:rPr>
          <w:rStyle w:val="ICBAbold"/>
          <w:b w:val="0"/>
        </w:rPr>
        <w:t>Management and Your Loan Portfolio</w:t>
      </w:r>
      <w:r w:rsidRPr="003D49D5">
        <w:rPr>
          <w:rStyle w:val="ICBAbold"/>
          <w:b w:val="0"/>
        </w:rPr>
        <w:t>.” To register</w:t>
      </w:r>
      <w:r w:rsidR="00D43A71" w:rsidRPr="003D49D5">
        <w:rPr>
          <w:rStyle w:val="ICBAbold"/>
          <w:b w:val="0"/>
        </w:rPr>
        <w:t>,</w:t>
      </w:r>
      <w:r w:rsidRPr="003D49D5">
        <w:rPr>
          <w:rStyle w:val="ICBAbold"/>
          <w:b w:val="0"/>
        </w:rPr>
        <w:t xml:space="preserve"> visit </w:t>
      </w:r>
      <w:r w:rsidR="00FE2DCC" w:rsidRPr="00D927A9">
        <w:t>viningsparks.com</w:t>
      </w:r>
    </w:p>
    <w:p w14:paraId="33D1D06A" w14:textId="13353439" w:rsidR="00E4200A" w:rsidRPr="003D49D5" w:rsidRDefault="00E4200A" w:rsidP="003D49D5">
      <w:pPr>
        <w:spacing w:line="360" w:lineRule="auto"/>
        <w:rPr>
          <w:rStyle w:val="Hyperlink"/>
        </w:rPr>
      </w:pPr>
    </w:p>
    <w:p w14:paraId="0CCB61A5" w14:textId="435A681F" w:rsidR="002F6B8F" w:rsidRPr="003D49D5" w:rsidRDefault="002F6B8F" w:rsidP="003D49D5">
      <w:pPr>
        <w:spacing w:line="360" w:lineRule="auto"/>
        <w:rPr>
          <w:rStyle w:val="ICBAbold"/>
          <w:bCs/>
        </w:rPr>
      </w:pPr>
      <w:r w:rsidRPr="003D49D5">
        <w:rPr>
          <w:rStyle w:val="ICBAbold"/>
          <w:bCs/>
        </w:rPr>
        <w:t>Education calendar online</w:t>
      </w:r>
    </w:p>
    <w:p w14:paraId="0D41B611" w14:textId="50A14AB5" w:rsidR="00D92FD0" w:rsidRDefault="00D92FD0" w:rsidP="0096638C">
      <w:pPr>
        <w:spacing w:line="360" w:lineRule="auto"/>
        <w:rPr>
          <w:rStyle w:val="ICBAbold"/>
          <w:b w:val="0"/>
        </w:rPr>
      </w:pPr>
      <w:r w:rsidRPr="003D49D5">
        <w:rPr>
          <w:rStyle w:val="ICBAbold"/>
          <w:b w:val="0"/>
        </w:rPr>
        <w:t>ICBA Securities and Stifel Financial have a full suite of webinars, seminars and convention presentations throughout the summer in numerous locations. To find an event near you</w:t>
      </w:r>
      <w:r w:rsidR="00C56651">
        <w:rPr>
          <w:rStyle w:val="ICBAbold"/>
          <w:b w:val="0"/>
        </w:rPr>
        <w:t>,</w:t>
      </w:r>
      <w:r w:rsidRPr="003D49D5">
        <w:rPr>
          <w:rStyle w:val="ICBAbold"/>
          <w:b w:val="0"/>
        </w:rPr>
        <w:t xml:space="preserve"> visit </w:t>
      </w:r>
      <w:bookmarkEnd w:id="0"/>
      <w:r w:rsidR="00D927A9" w:rsidRPr="00D927A9">
        <w:rPr>
          <w:rStyle w:val="ICBAbold"/>
          <w:b w:val="0"/>
        </w:rPr>
        <w:t>icba.org/icba-securities/educational-events</w:t>
      </w:r>
    </w:p>
    <w:p w14:paraId="3943208B" w14:textId="5F444FAF" w:rsidR="00972D89" w:rsidRDefault="00972D89" w:rsidP="003D49D5">
      <w:pPr>
        <w:spacing w:line="360" w:lineRule="auto"/>
        <w:rPr>
          <w:rStyle w:val="ICBAbold"/>
          <w:b w:val="0"/>
        </w:rPr>
      </w:pPr>
    </w:p>
    <w:p w14:paraId="5AB1C896" w14:textId="5E9A2986" w:rsidR="00972D89" w:rsidRPr="0096638C" w:rsidRDefault="00972D89" w:rsidP="003D49D5">
      <w:pPr>
        <w:spacing w:line="360" w:lineRule="auto"/>
        <w:rPr>
          <w:rStyle w:val="ICBAbold"/>
          <w:b w:val="0"/>
          <w:color w:val="FF0000"/>
        </w:rPr>
      </w:pPr>
      <w:r w:rsidRPr="0096638C">
        <w:rPr>
          <w:rStyle w:val="ICBAbold"/>
          <w:b w:val="0"/>
          <w:color w:val="FF0000"/>
        </w:rPr>
        <w:t>[pull quote]</w:t>
      </w:r>
    </w:p>
    <w:p w14:paraId="5B37E580" w14:textId="019074A0" w:rsidR="00972D89" w:rsidRPr="003D49D5" w:rsidRDefault="00972D89" w:rsidP="003D49D5">
      <w:pPr>
        <w:spacing w:line="360" w:lineRule="auto"/>
        <w:rPr>
          <w:rStyle w:val="ICBAbold"/>
          <w:b w:val="0"/>
        </w:rPr>
      </w:pPr>
      <w:r w:rsidRPr="003D49D5">
        <w:rPr>
          <w:rStyle w:val="ICBAbold"/>
          <w:b w:val="0"/>
        </w:rPr>
        <w:t>As we proceed into the spring of 2022, many investment managers are wondering if it’s time to sound the mayday alarm about their mortgage securities</w:t>
      </w:r>
      <w:r>
        <w:rPr>
          <w:rStyle w:val="ICBAbold"/>
          <w:b w:val="0"/>
        </w:rPr>
        <w:t>.</w:t>
      </w:r>
    </w:p>
    <w:sectPr w:rsidR="00972D89" w:rsidRPr="003D49D5"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8"/>
  </w:num>
  <w:num w:numId="3">
    <w:abstractNumId w:val="15"/>
  </w:num>
  <w:num w:numId="4">
    <w:abstractNumId w:val="33"/>
  </w:num>
  <w:num w:numId="5">
    <w:abstractNumId w:val="12"/>
  </w:num>
  <w:num w:numId="6">
    <w:abstractNumId w:val="25"/>
  </w:num>
  <w:num w:numId="7">
    <w:abstractNumId w:val="22"/>
  </w:num>
  <w:num w:numId="8">
    <w:abstractNumId w:val="0"/>
  </w:num>
  <w:num w:numId="9">
    <w:abstractNumId w:val="23"/>
  </w:num>
  <w:num w:numId="10">
    <w:abstractNumId w:val="7"/>
  </w:num>
  <w:num w:numId="11">
    <w:abstractNumId w:val="26"/>
  </w:num>
  <w:num w:numId="12">
    <w:abstractNumId w:val="27"/>
  </w:num>
  <w:num w:numId="13">
    <w:abstractNumId w:val="17"/>
  </w:num>
  <w:num w:numId="14">
    <w:abstractNumId w:val="31"/>
  </w:num>
  <w:num w:numId="15">
    <w:abstractNumId w:val="20"/>
  </w:num>
  <w:num w:numId="16">
    <w:abstractNumId w:val="10"/>
  </w:num>
  <w:num w:numId="17">
    <w:abstractNumId w:val="24"/>
  </w:num>
  <w:num w:numId="18">
    <w:abstractNumId w:val="14"/>
  </w:num>
  <w:num w:numId="19">
    <w:abstractNumId w:val="3"/>
  </w:num>
  <w:num w:numId="20">
    <w:abstractNumId w:val="4"/>
  </w:num>
  <w:num w:numId="21">
    <w:abstractNumId w:val="29"/>
  </w:num>
  <w:num w:numId="22">
    <w:abstractNumId w:val="19"/>
  </w:num>
  <w:num w:numId="23">
    <w:abstractNumId w:val="6"/>
  </w:num>
  <w:num w:numId="24">
    <w:abstractNumId w:val="11"/>
  </w:num>
  <w:num w:numId="25">
    <w:abstractNumId w:val="13"/>
  </w:num>
  <w:num w:numId="26">
    <w:abstractNumId w:val="16"/>
  </w:num>
  <w:num w:numId="27">
    <w:abstractNumId w:val="32"/>
  </w:num>
  <w:num w:numId="28">
    <w:abstractNumId w:val="5"/>
  </w:num>
  <w:num w:numId="29">
    <w:abstractNumId w:val="1"/>
  </w:num>
  <w:num w:numId="30">
    <w:abstractNumId w:val="9"/>
  </w:num>
  <w:num w:numId="31">
    <w:abstractNumId w:val="21"/>
  </w:num>
  <w:num w:numId="32">
    <w:abstractNumId w:val="28"/>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12AD"/>
    <w:rsid w:val="000D1431"/>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55F"/>
    <w:rsid w:val="001B4AF1"/>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D2"/>
    <w:rsid w:val="00304527"/>
    <w:rsid w:val="00304791"/>
    <w:rsid w:val="00304811"/>
    <w:rsid w:val="00304E0F"/>
    <w:rsid w:val="00305081"/>
    <w:rsid w:val="003052BE"/>
    <w:rsid w:val="0030587A"/>
    <w:rsid w:val="003070D1"/>
    <w:rsid w:val="003074F8"/>
    <w:rsid w:val="00307623"/>
    <w:rsid w:val="00307D86"/>
    <w:rsid w:val="003100B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2E9B"/>
    <w:rsid w:val="004436F1"/>
    <w:rsid w:val="004437C1"/>
    <w:rsid w:val="00444018"/>
    <w:rsid w:val="004444EB"/>
    <w:rsid w:val="00444775"/>
    <w:rsid w:val="004455C4"/>
    <w:rsid w:val="004463E6"/>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6D2"/>
    <w:rsid w:val="00470DB0"/>
    <w:rsid w:val="00471C22"/>
    <w:rsid w:val="00471E60"/>
    <w:rsid w:val="00471E89"/>
    <w:rsid w:val="00472D9D"/>
    <w:rsid w:val="00473602"/>
    <w:rsid w:val="00473A8A"/>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DD2"/>
    <w:rsid w:val="00735247"/>
    <w:rsid w:val="007355BB"/>
    <w:rsid w:val="0073579B"/>
    <w:rsid w:val="00735D23"/>
    <w:rsid w:val="00736999"/>
    <w:rsid w:val="00740EAA"/>
    <w:rsid w:val="00740FC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1A8"/>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886"/>
    <w:rsid w:val="00776E5F"/>
    <w:rsid w:val="00776F11"/>
    <w:rsid w:val="007773DD"/>
    <w:rsid w:val="0077744A"/>
    <w:rsid w:val="00780B1A"/>
    <w:rsid w:val="00780D11"/>
    <w:rsid w:val="00781600"/>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DB6"/>
    <w:rsid w:val="00817BE8"/>
    <w:rsid w:val="00820166"/>
    <w:rsid w:val="008205C8"/>
    <w:rsid w:val="00820DE2"/>
    <w:rsid w:val="0082106E"/>
    <w:rsid w:val="008228D6"/>
    <w:rsid w:val="00824153"/>
    <w:rsid w:val="0082429D"/>
    <w:rsid w:val="00824CC1"/>
    <w:rsid w:val="0082642C"/>
    <w:rsid w:val="0082651D"/>
    <w:rsid w:val="00826570"/>
    <w:rsid w:val="00826A2E"/>
    <w:rsid w:val="0082755B"/>
    <w:rsid w:val="00827613"/>
    <w:rsid w:val="00827B78"/>
    <w:rsid w:val="00827EEE"/>
    <w:rsid w:val="00830423"/>
    <w:rsid w:val="00831910"/>
    <w:rsid w:val="00831917"/>
    <w:rsid w:val="0083254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53E0"/>
    <w:rsid w:val="008965FD"/>
    <w:rsid w:val="00896968"/>
    <w:rsid w:val="00896FF1"/>
    <w:rsid w:val="008A052D"/>
    <w:rsid w:val="008A1E68"/>
    <w:rsid w:val="008A2036"/>
    <w:rsid w:val="008A24B2"/>
    <w:rsid w:val="008A297E"/>
    <w:rsid w:val="008A4361"/>
    <w:rsid w:val="008A6443"/>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16F5"/>
    <w:rsid w:val="009220F4"/>
    <w:rsid w:val="00922980"/>
    <w:rsid w:val="00922A63"/>
    <w:rsid w:val="00923036"/>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38C"/>
    <w:rsid w:val="00966E12"/>
    <w:rsid w:val="0097080E"/>
    <w:rsid w:val="0097148E"/>
    <w:rsid w:val="00972B72"/>
    <w:rsid w:val="00972C1B"/>
    <w:rsid w:val="00972D89"/>
    <w:rsid w:val="00972F97"/>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F8B"/>
    <w:rsid w:val="00A45FF7"/>
    <w:rsid w:val="00A5068C"/>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10AA"/>
    <w:rsid w:val="00C6187A"/>
    <w:rsid w:val="00C618C1"/>
    <w:rsid w:val="00C61B5C"/>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36D7"/>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235F"/>
    <w:rsid w:val="00D42BB8"/>
    <w:rsid w:val="00D42BE2"/>
    <w:rsid w:val="00D42EC6"/>
    <w:rsid w:val="00D43A71"/>
    <w:rsid w:val="00D441CC"/>
    <w:rsid w:val="00D44E23"/>
    <w:rsid w:val="00D45D1F"/>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71BB"/>
    <w:rsid w:val="00D97F11"/>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225A"/>
    <w:rsid w:val="00E8386B"/>
    <w:rsid w:val="00E83DF3"/>
    <w:rsid w:val="00E84471"/>
    <w:rsid w:val="00E84AD8"/>
    <w:rsid w:val="00E85461"/>
    <w:rsid w:val="00E86AE4"/>
    <w:rsid w:val="00E873F4"/>
    <w:rsid w:val="00E92F05"/>
    <w:rsid w:val="00E931E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19E1"/>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5349"/>
    <w:rsid w:val="00FC57E1"/>
    <w:rsid w:val="00FC6015"/>
    <w:rsid w:val="00FC6F87"/>
    <w:rsid w:val="00FD064C"/>
    <w:rsid w:val="00FD1896"/>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CA2F-B49C-4C94-B133-367B0F4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5034</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Molly Bennett</cp:lastModifiedBy>
  <cp:revision>3</cp:revision>
  <cp:lastPrinted>2021-04-28T14:53:00Z</cp:lastPrinted>
  <dcterms:created xsi:type="dcterms:W3CDTF">2022-03-22T17:15:00Z</dcterms:created>
  <dcterms:modified xsi:type="dcterms:W3CDTF">2022-03-22T17:16:00Z</dcterms:modified>
</cp:coreProperties>
</file>