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BAB6BB6" w14:textId="5D84437B" w:rsidR="001D7A5B" w:rsidRDefault="001D7A5B" w:rsidP="001D7A5B">
      <w:pPr>
        <w:pStyle w:val="NoSpacing"/>
        <w:spacing w:line="276" w:lineRule="auto"/>
        <w:rPr>
          <w:b/>
        </w:rPr>
      </w:pPr>
      <w:r>
        <w:rPr>
          <w:b/>
        </w:rPr>
        <w:t>Independent Banker</w:t>
      </w:r>
    </w:p>
    <w:p w14:paraId="6EFEEE48" w14:textId="2838BB6B" w:rsidR="001D7A5B" w:rsidRDefault="001D7A5B" w:rsidP="001D7A5B">
      <w:pPr>
        <w:pStyle w:val="NoSpacing"/>
        <w:spacing w:line="276" w:lineRule="auto"/>
        <w:rPr>
          <w:b/>
        </w:rPr>
      </w:pPr>
      <w:r>
        <w:rPr>
          <w:b/>
        </w:rPr>
        <w:t>March 2025</w:t>
      </w:r>
    </w:p>
    <w:p w14:paraId="28F3AF90" w14:textId="1BDE17DE" w:rsidR="001D7A5B" w:rsidRDefault="001D7A5B" w:rsidP="00AF1E24">
      <w:pPr>
        <w:pStyle w:val="NoSpacing"/>
        <w:spacing w:after="240" w:line="276" w:lineRule="auto"/>
        <w:rPr>
          <w:b/>
        </w:rPr>
      </w:pPr>
      <w:r>
        <w:rPr>
          <w:b/>
        </w:rPr>
        <w:t>Portfolio</w:t>
      </w:r>
    </w:p>
    <w:p w14:paraId="2E066263" w14:textId="690EDF5A" w:rsidR="001D7A5B" w:rsidRDefault="001D7A5B" w:rsidP="00AF1E24">
      <w:pPr>
        <w:pStyle w:val="NoSpacing"/>
        <w:spacing w:after="240" w:line="276" w:lineRule="auto"/>
        <w:rPr>
          <w:b/>
        </w:rPr>
      </w:pPr>
      <w:r>
        <w:rPr>
          <w:b/>
        </w:rPr>
        <w:t>[tag] Portfolio Management</w:t>
      </w:r>
    </w:p>
    <w:p w14:paraId="6A601D00" w14:textId="56F77641" w:rsidR="008B7DC1" w:rsidRPr="00AF1E24" w:rsidRDefault="001D7A5B" w:rsidP="00AF1E24">
      <w:pPr>
        <w:pStyle w:val="NoSpacing"/>
        <w:spacing w:after="240" w:line="276" w:lineRule="auto"/>
        <w:rPr>
          <w:b/>
        </w:rPr>
      </w:pPr>
      <w:r>
        <w:rPr>
          <w:b/>
        </w:rPr>
        <w:t>[</w:t>
      </w:r>
      <w:proofErr w:type="spellStart"/>
      <w:r>
        <w:rPr>
          <w:b/>
        </w:rPr>
        <w:t>hed</w:t>
      </w:r>
      <w:proofErr w:type="spellEnd"/>
      <w:r>
        <w:rPr>
          <w:b/>
        </w:rPr>
        <w:t xml:space="preserve">] </w:t>
      </w:r>
      <w:r w:rsidR="00FD3A0D">
        <w:rPr>
          <w:b/>
        </w:rPr>
        <w:t>Grab some windows of opportunity</w:t>
      </w:r>
    </w:p>
    <w:p w14:paraId="5A1F6577" w14:textId="4D61630E" w:rsidR="008B7DC1" w:rsidRPr="00AF1E24" w:rsidRDefault="001D7A5B" w:rsidP="00AF1E24">
      <w:pPr>
        <w:pStyle w:val="NoSpacing"/>
        <w:spacing w:after="240" w:line="276" w:lineRule="auto"/>
        <w:rPr>
          <w:bCs/>
        </w:rPr>
      </w:pPr>
      <w:r>
        <w:rPr>
          <w:bCs/>
        </w:rPr>
        <w:t xml:space="preserve">[dek] </w:t>
      </w:r>
      <w:r w:rsidR="008B7DC1" w:rsidRPr="00AF1E24">
        <w:rPr>
          <w:bCs/>
        </w:rPr>
        <w:t xml:space="preserve">A </w:t>
      </w:r>
      <w:r>
        <w:rPr>
          <w:bCs/>
        </w:rPr>
        <w:t>s</w:t>
      </w:r>
      <w:r w:rsidR="008B7DC1" w:rsidRPr="00AF1E24">
        <w:rPr>
          <w:bCs/>
        </w:rPr>
        <w:t xml:space="preserve">teeper </w:t>
      </w:r>
      <w:r>
        <w:rPr>
          <w:bCs/>
        </w:rPr>
        <w:t>y</w:t>
      </w:r>
      <w:r w:rsidR="008B7DC1" w:rsidRPr="00AF1E24">
        <w:rPr>
          <w:bCs/>
        </w:rPr>
        <w:t xml:space="preserve">ield </w:t>
      </w:r>
      <w:r>
        <w:rPr>
          <w:bCs/>
        </w:rPr>
        <w:t>c</w:t>
      </w:r>
      <w:r w:rsidR="008B7DC1" w:rsidRPr="00AF1E24">
        <w:rPr>
          <w:bCs/>
        </w:rPr>
        <w:t xml:space="preserve">urve </w:t>
      </w:r>
      <w:r>
        <w:rPr>
          <w:bCs/>
        </w:rPr>
        <w:t>b</w:t>
      </w:r>
      <w:r w:rsidR="008B7DC1" w:rsidRPr="00AF1E24">
        <w:rPr>
          <w:bCs/>
        </w:rPr>
        <w:t xml:space="preserve">rings </w:t>
      </w:r>
      <w:r>
        <w:rPr>
          <w:bCs/>
        </w:rPr>
        <w:t>g</w:t>
      </w:r>
      <w:r w:rsidR="008B7DC1" w:rsidRPr="00AF1E24">
        <w:rPr>
          <w:bCs/>
        </w:rPr>
        <w:t xml:space="preserve">rowth </w:t>
      </w:r>
      <w:r>
        <w:rPr>
          <w:bCs/>
        </w:rPr>
        <w:t>s</w:t>
      </w:r>
      <w:r w:rsidR="008B7DC1" w:rsidRPr="00AF1E24">
        <w:rPr>
          <w:bCs/>
        </w:rPr>
        <w:t xml:space="preserve">trategies </w:t>
      </w:r>
      <w:r>
        <w:rPr>
          <w:bCs/>
        </w:rPr>
        <w:t>b</w:t>
      </w:r>
      <w:r w:rsidR="008B7DC1" w:rsidRPr="00AF1E24">
        <w:rPr>
          <w:bCs/>
        </w:rPr>
        <w:t xml:space="preserve">ack into the </w:t>
      </w:r>
      <w:r>
        <w:rPr>
          <w:bCs/>
        </w:rPr>
        <w:t>f</w:t>
      </w:r>
      <w:r w:rsidR="008B7DC1" w:rsidRPr="00AF1E24">
        <w:rPr>
          <w:bCs/>
        </w:rPr>
        <w:t>old</w:t>
      </w:r>
      <w:r>
        <w:rPr>
          <w:bCs/>
        </w:rPr>
        <w:t>.</w:t>
      </w:r>
    </w:p>
    <w:p w14:paraId="35DD9F8C" w14:textId="4EBA1ED6" w:rsidR="001D7A5B" w:rsidRPr="00AF1E24" w:rsidRDefault="001D7A5B" w:rsidP="00AF1E24">
      <w:pPr>
        <w:pStyle w:val="NoSpacing"/>
        <w:spacing w:after="240" w:line="276" w:lineRule="auto"/>
        <w:rPr>
          <w:bCs/>
        </w:rPr>
      </w:pPr>
      <w:r w:rsidRPr="00AF1E24">
        <w:rPr>
          <w:bCs/>
        </w:rPr>
        <w:t>[byline] By Michael Benedict, Stifel</w:t>
      </w:r>
    </w:p>
    <w:p w14:paraId="6816D893" w14:textId="5A6844C0" w:rsidR="00152CE4" w:rsidRPr="001D7A5B" w:rsidRDefault="001D7A5B" w:rsidP="00AF1E24">
      <w:pPr>
        <w:pStyle w:val="NoSpacing"/>
        <w:spacing w:after="240" w:line="276" w:lineRule="auto"/>
        <w:rPr>
          <w:b/>
        </w:rPr>
      </w:pPr>
      <w:r w:rsidRPr="001D7A5B">
        <w:t>[body]</w:t>
      </w:r>
    </w:p>
    <w:p w14:paraId="6C2769E1" w14:textId="5129B3EC" w:rsidR="00FC355B" w:rsidRDefault="003E5370">
      <w:pPr>
        <w:pStyle w:val="NoSpacing"/>
        <w:spacing w:after="240" w:line="276" w:lineRule="auto"/>
        <w:rPr>
          <w:bCs/>
        </w:rPr>
      </w:pPr>
      <w:r w:rsidRPr="001D7A5B">
        <w:rPr>
          <w:bCs/>
        </w:rPr>
        <w:t>The saying “</w:t>
      </w:r>
      <w:r w:rsidR="00FC355B">
        <w:rPr>
          <w:bCs/>
        </w:rPr>
        <w:t>M</w:t>
      </w:r>
      <w:r w:rsidR="00FC355B" w:rsidRPr="001D7A5B">
        <w:rPr>
          <w:bCs/>
        </w:rPr>
        <w:t xml:space="preserve">ake </w:t>
      </w:r>
      <w:r w:rsidRPr="001D7A5B">
        <w:rPr>
          <w:bCs/>
        </w:rPr>
        <w:t xml:space="preserve">hay while the sun shines” might not seem seasonally appropriate until days grow longer and sunlight pours down in abundance, but the guiding principles behind the saying </w:t>
      </w:r>
      <w:r w:rsidR="001D7A5B">
        <w:rPr>
          <w:bCs/>
        </w:rPr>
        <w:t>“</w:t>
      </w:r>
      <w:r w:rsidR="00FC355B">
        <w:rPr>
          <w:bCs/>
        </w:rPr>
        <w:t>C</w:t>
      </w:r>
      <w:r w:rsidRPr="001D7A5B">
        <w:rPr>
          <w:bCs/>
        </w:rPr>
        <w:t>apitalize on windows of opportunity before the opportunity passes</w:t>
      </w:r>
      <w:r w:rsidR="001D7A5B">
        <w:rPr>
          <w:bCs/>
        </w:rPr>
        <w:t xml:space="preserve">” </w:t>
      </w:r>
      <w:r w:rsidRPr="001D7A5B">
        <w:rPr>
          <w:bCs/>
        </w:rPr>
        <w:t>can be applied any time of year.</w:t>
      </w:r>
      <w:r w:rsidR="001D7A5B">
        <w:rPr>
          <w:bCs/>
        </w:rPr>
        <w:t xml:space="preserve"> </w:t>
      </w:r>
    </w:p>
    <w:p w14:paraId="2D8D5A50" w14:textId="3502D013" w:rsidR="00274B89" w:rsidRPr="001D7A5B" w:rsidRDefault="00274B89" w:rsidP="00AF1E24">
      <w:pPr>
        <w:pStyle w:val="NoSpacing"/>
        <w:spacing w:after="240" w:line="276" w:lineRule="auto"/>
        <w:rPr>
          <w:bCs/>
        </w:rPr>
      </w:pPr>
      <w:r w:rsidRPr="001D7A5B">
        <w:rPr>
          <w:bCs/>
        </w:rPr>
        <w:t>One of the goals of this column is to identify what some of those opportunities are, as well as when windows to pursue them are open.</w:t>
      </w:r>
      <w:r w:rsidR="001D7A5B">
        <w:rPr>
          <w:bCs/>
        </w:rPr>
        <w:t xml:space="preserve"> </w:t>
      </w:r>
      <w:r w:rsidR="007667A7" w:rsidRPr="001D7A5B">
        <w:rPr>
          <w:bCs/>
        </w:rPr>
        <w:t>Though there a</w:t>
      </w:r>
      <w:r w:rsidR="00D00FF3" w:rsidRPr="001D7A5B">
        <w:rPr>
          <w:bCs/>
        </w:rPr>
        <w:t>re</w:t>
      </w:r>
      <w:r w:rsidR="007667A7" w:rsidRPr="001D7A5B">
        <w:rPr>
          <w:bCs/>
        </w:rPr>
        <w:t xml:space="preserve"> certain similarities with prior years, </w:t>
      </w:r>
      <w:r w:rsidRPr="001D7A5B">
        <w:rPr>
          <w:bCs/>
        </w:rPr>
        <w:t xml:space="preserve">2025 has started off presenting a very different set of opportunities than </w:t>
      </w:r>
      <w:r w:rsidR="007667A7" w:rsidRPr="001D7A5B">
        <w:rPr>
          <w:bCs/>
        </w:rPr>
        <w:t>the recent past</w:t>
      </w:r>
      <w:r w:rsidRPr="001D7A5B">
        <w:rPr>
          <w:bCs/>
        </w:rPr>
        <w:t>.</w:t>
      </w:r>
    </w:p>
    <w:p w14:paraId="7F9FD072" w14:textId="77777777" w:rsidR="00FD3A0D" w:rsidRDefault="00274B89" w:rsidP="00AF1E24">
      <w:pPr>
        <w:pStyle w:val="NoSpacing"/>
        <w:spacing w:after="240" w:line="276" w:lineRule="auto"/>
        <w:rPr>
          <w:bCs/>
        </w:rPr>
      </w:pPr>
      <w:r w:rsidRPr="001D7A5B">
        <w:rPr>
          <w:bCs/>
        </w:rPr>
        <w:t>Of course, reference point matter</w:t>
      </w:r>
      <w:r w:rsidR="007667A7" w:rsidRPr="001D7A5B">
        <w:rPr>
          <w:bCs/>
        </w:rPr>
        <w:t>s</w:t>
      </w:r>
      <w:r w:rsidRPr="001D7A5B">
        <w:rPr>
          <w:bCs/>
        </w:rPr>
        <w:t>.</w:t>
      </w:r>
      <w:r w:rsidR="001D7A5B">
        <w:rPr>
          <w:bCs/>
        </w:rPr>
        <w:t xml:space="preserve"> </w:t>
      </w:r>
      <w:r w:rsidRPr="001D7A5B">
        <w:rPr>
          <w:bCs/>
        </w:rPr>
        <w:t xml:space="preserve">While the current environment differs meaningfully from the past several years, there are very few interest rate environments that </w:t>
      </w:r>
      <w:r w:rsidR="00A56113" w:rsidRPr="001D7A5B">
        <w:rPr>
          <w:bCs/>
        </w:rPr>
        <w:t>seasoned manager</w:t>
      </w:r>
      <w:r w:rsidR="00B53D9C" w:rsidRPr="001D7A5B">
        <w:rPr>
          <w:bCs/>
        </w:rPr>
        <w:t>s</w:t>
      </w:r>
      <w:r w:rsidR="00A56113" w:rsidRPr="001D7A5B">
        <w:rPr>
          <w:bCs/>
        </w:rPr>
        <w:t xml:space="preserve"> haven’t</w:t>
      </w:r>
      <w:r w:rsidRPr="001D7A5B">
        <w:rPr>
          <w:bCs/>
        </w:rPr>
        <w:t xml:space="preserve"> seen before.</w:t>
      </w:r>
      <w:r w:rsidR="001D7A5B">
        <w:rPr>
          <w:bCs/>
        </w:rPr>
        <w:t xml:space="preserve"> </w:t>
      </w:r>
    </w:p>
    <w:p w14:paraId="6502BEA5" w14:textId="3CF434F1" w:rsidR="00274B89" w:rsidRPr="001D7A5B" w:rsidRDefault="007667A7" w:rsidP="00AF1E24">
      <w:pPr>
        <w:pStyle w:val="NoSpacing"/>
        <w:spacing w:after="240" w:line="276" w:lineRule="auto"/>
        <w:rPr>
          <w:bCs/>
        </w:rPr>
      </w:pPr>
      <w:r w:rsidRPr="001D7A5B">
        <w:rPr>
          <w:bCs/>
        </w:rPr>
        <w:t>However, given that the yield curve was inverted</w:t>
      </w:r>
      <w:r w:rsidR="001D7A5B">
        <w:rPr>
          <w:bCs/>
        </w:rPr>
        <w:t>—</w:t>
      </w:r>
      <w:r w:rsidRPr="001D7A5B">
        <w:rPr>
          <w:bCs/>
        </w:rPr>
        <w:t>with yields on short-term investments higher than yields for longer-term investments</w:t>
      </w:r>
      <w:r w:rsidR="001D7A5B">
        <w:rPr>
          <w:bCs/>
        </w:rPr>
        <w:t>—</w:t>
      </w:r>
      <w:r w:rsidRPr="001D7A5B">
        <w:rPr>
          <w:bCs/>
        </w:rPr>
        <w:t>for more than two years, the strategy playbook for a steepening yield curve environment may feel like a distant memory.</w:t>
      </w:r>
      <w:r w:rsidR="001D7A5B">
        <w:rPr>
          <w:bCs/>
        </w:rPr>
        <w:t xml:space="preserve"> </w:t>
      </w:r>
      <w:r w:rsidR="003537D9" w:rsidRPr="001D7A5B">
        <w:rPr>
          <w:bCs/>
        </w:rPr>
        <w:t>Despite having gathered some dust, the evolution of the yield curve over the past several months ha</w:t>
      </w:r>
      <w:r w:rsidR="00A50EC2" w:rsidRPr="001D7A5B">
        <w:rPr>
          <w:bCs/>
        </w:rPr>
        <w:t>s</w:t>
      </w:r>
      <w:r w:rsidR="003537D9" w:rsidRPr="001D7A5B">
        <w:rPr>
          <w:bCs/>
        </w:rPr>
        <w:t xml:space="preserve"> made growth strategies viable again.</w:t>
      </w:r>
    </w:p>
    <w:p w14:paraId="63CAECDE" w14:textId="7AEDF35C" w:rsidR="002C2217" w:rsidRPr="001D7A5B" w:rsidRDefault="002C2217" w:rsidP="00AF1E24">
      <w:pPr>
        <w:pStyle w:val="NoSpacing"/>
        <w:spacing w:after="240" w:line="276" w:lineRule="auto"/>
      </w:pPr>
    </w:p>
    <w:p w14:paraId="700380DC" w14:textId="48D5D19A" w:rsidR="00590F51" w:rsidRPr="001D7A5B" w:rsidRDefault="001D7A5B" w:rsidP="00AF1E24">
      <w:pPr>
        <w:pStyle w:val="NoSpacing"/>
        <w:spacing w:after="240" w:line="276" w:lineRule="auto"/>
        <w:rPr>
          <w:b/>
        </w:rPr>
      </w:pPr>
      <w:r>
        <w:rPr>
          <w:b/>
        </w:rPr>
        <w:t xml:space="preserve">[subhead] </w:t>
      </w:r>
      <w:r w:rsidR="00A50EC2" w:rsidRPr="001D7A5B">
        <w:rPr>
          <w:b/>
        </w:rPr>
        <w:t xml:space="preserve">Why </w:t>
      </w:r>
      <w:r>
        <w:rPr>
          <w:b/>
        </w:rPr>
        <w:t>n</w:t>
      </w:r>
      <w:r w:rsidR="00A50EC2" w:rsidRPr="001D7A5B">
        <w:rPr>
          <w:b/>
        </w:rPr>
        <w:t>ow?</w:t>
      </w:r>
    </w:p>
    <w:p w14:paraId="56908C38" w14:textId="15954052" w:rsidR="00A56563" w:rsidRPr="001D7A5B" w:rsidRDefault="00F603EC" w:rsidP="00AF1E24">
      <w:pPr>
        <w:pStyle w:val="NoSpacing"/>
        <w:spacing w:after="240" w:line="276" w:lineRule="auto"/>
        <w:rPr>
          <w:bCs/>
        </w:rPr>
      </w:pPr>
      <w:r w:rsidRPr="001D7A5B">
        <w:rPr>
          <w:bCs/>
        </w:rPr>
        <w:t xml:space="preserve">To </w:t>
      </w:r>
      <w:r w:rsidR="00A50EC2" w:rsidRPr="001D7A5B">
        <w:rPr>
          <w:bCs/>
        </w:rPr>
        <w:t>address the elephant in the room</w:t>
      </w:r>
      <w:r w:rsidRPr="001D7A5B">
        <w:rPr>
          <w:bCs/>
        </w:rPr>
        <w:t>, the yield curve can hardly be considered “steep” from a historical perspective.</w:t>
      </w:r>
      <w:r w:rsidR="001D7A5B">
        <w:rPr>
          <w:bCs/>
        </w:rPr>
        <w:t xml:space="preserve"> </w:t>
      </w:r>
      <w:r w:rsidRPr="001D7A5B">
        <w:rPr>
          <w:bCs/>
        </w:rPr>
        <w:t>At the time of writing, the 2s/10s Treasury spread</w:t>
      </w:r>
      <w:r w:rsidR="001D7A5B">
        <w:rPr>
          <w:bCs/>
        </w:rPr>
        <w:t>,</w:t>
      </w:r>
      <w:r w:rsidRPr="001D7A5B">
        <w:rPr>
          <w:bCs/>
        </w:rPr>
        <w:t xml:space="preserve"> a widely</w:t>
      </w:r>
      <w:r w:rsidR="00FC355B">
        <w:rPr>
          <w:bCs/>
        </w:rPr>
        <w:t xml:space="preserve"> </w:t>
      </w:r>
      <w:r w:rsidRPr="001D7A5B">
        <w:rPr>
          <w:bCs/>
        </w:rPr>
        <w:t xml:space="preserve">followed metric </w:t>
      </w:r>
      <w:r w:rsidR="00FC355B">
        <w:rPr>
          <w:bCs/>
        </w:rPr>
        <w:t>that measures</w:t>
      </w:r>
      <w:r w:rsidR="00FC355B" w:rsidRPr="001D7A5B">
        <w:rPr>
          <w:bCs/>
        </w:rPr>
        <w:t xml:space="preserve"> </w:t>
      </w:r>
      <w:r w:rsidRPr="001D7A5B">
        <w:rPr>
          <w:bCs/>
        </w:rPr>
        <w:t>yield curve slope</w:t>
      </w:r>
      <w:r w:rsidR="001D7A5B">
        <w:rPr>
          <w:bCs/>
        </w:rPr>
        <w:t>,</w:t>
      </w:r>
      <w:r w:rsidRPr="001D7A5B">
        <w:rPr>
          <w:bCs/>
        </w:rPr>
        <w:t xml:space="preserve"> sits at </w:t>
      </w:r>
      <w:r w:rsidR="00FC355B" w:rsidRPr="001D7A5B">
        <w:rPr>
          <w:bCs/>
        </w:rPr>
        <w:t>a</w:t>
      </w:r>
      <w:r w:rsidR="00FC355B">
        <w:rPr>
          <w:bCs/>
        </w:rPr>
        <w:t>bout</w:t>
      </w:r>
      <w:r w:rsidR="00FC355B" w:rsidRPr="001D7A5B">
        <w:rPr>
          <w:bCs/>
        </w:rPr>
        <w:t xml:space="preserve"> </w:t>
      </w:r>
      <w:r w:rsidRPr="001D7A5B">
        <w:rPr>
          <w:bCs/>
        </w:rPr>
        <w:t>40 basis points (0.40%).</w:t>
      </w:r>
      <w:r w:rsidR="001D7A5B">
        <w:rPr>
          <w:bCs/>
        </w:rPr>
        <w:t xml:space="preserve"> </w:t>
      </w:r>
      <w:r w:rsidRPr="001D7A5B">
        <w:rPr>
          <w:bCs/>
        </w:rPr>
        <w:t xml:space="preserve">This is a considerable increase from </w:t>
      </w:r>
      <w:r w:rsidR="00A56563" w:rsidRPr="001D7A5B">
        <w:rPr>
          <w:bCs/>
        </w:rPr>
        <w:t>its recent low of -108 basis points (-1.08%) but remains</w:t>
      </w:r>
      <w:r w:rsidRPr="001D7A5B">
        <w:rPr>
          <w:bCs/>
        </w:rPr>
        <w:t xml:space="preserve"> well below its long-term average of </w:t>
      </w:r>
      <w:r w:rsidR="00FC355B" w:rsidRPr="001D7A5B">
        <w:rPr>
          <w:bCs/>
        </w:rPr>
        <w:t>a</w:t>
      </w:r>
      <w:r w:rsidR="00FC355B">
        <w:rPr>
          <w:bCs/>
        </w:rPr>
        <w:t>bout</w:t>
      </w:r>
      <w:r w:rsidR="00FC355B" w:rsidRPr="001D7A5B">
        <w:rPr>
          <w:bCs/>
        </w:rPr>
        <w:t xml:space="preserve"> </w:t>
      </w:r>
      <w:r w:rsidRPr="001D7A5B">
        <w:rPr>
          <w:bCs/>
        </w:rPr>
        <w:t>100 basis points (1.00%).</w:t>
      </w:r>
    </w:p>
    <w:p w14:paraId="36D63467" w14:textId="52810AB8" w:rsidR="00FC355B" w:rsidRDefault="00695A07">
      <w:pPr>
        <w:pStyle w:val="NoSpacing"/>
        <w:spacing w:after="240" w:line="276" w:lineRule="auto"/>
        <w:rPr>
          <w:bCs/>
        </w:rPr>
      </w:pPr>
      <w:r w:rsidRPr="001D7A5B">
        <w:rPr>
          <w:bCs/>
        </w:rPr>
        <w:lastRenderedPageBreak/>
        <w:t>However, most growth strategies pursued by community banks do not invest proceeds in the Treasury market.</w:t>
      </w:r>
      <w:r w:rsidR="001D7A5B">
        <w:rPr>
          <w:bCs/>
        </w:rPr>
        <w:t xml:space="preserve"> </w:t>
      </w:r>
      <w:r w:rsidRPr="001D7A5B">
        <w:rPr>
          <w:bCs/>
        </w:rPr>
        <w:t>Return targets for such strategies are almost universally 100 basis points or more</w:t>
      </w:r>
      <w:r w:rsidR="00FC355B">
        <w:rPr>
          <w:bCs/>
        </w:rPr>
        <w:t>. R</w:t>
      </w:r>
      <w:r w:rsidRPr="001D7A5B">
        <w:rPr>
          <w:bCs/>
        </w:rPr>
        <w:t>eaching this target with a reasonable mismatch between the price sensitivity of asset</w:t>
      </w:r>
      <w:r w:rsidR="00A50EC2" w:rsidRPr="001D7A5B">
        <w:rPr>
          <w:bCs/>
        </w:rPr>
        <w:t>s</w:t>
      </w:r>
      <w:r w:rsidRPr="001D7A5B">
        <w:rPr>
          <w:bCs/>
        </w:rPr>
        <w:t xml:space="preserve"> versus funding typically requires investment in securities </w:t>
      </w:r>
      <w:r w:rsidR="00FC355B">
        <w:rPr>
          <w:bCs/>
        </w:rPr>
        <w:t>that</w:t>
      </w:r>
      <w:r w:rsidR="00FC355B" w:rsidRPr="001D7A5B">
        <w:rPr>
          <w:bCs/>
        </w:rPr>
        <w:t xml:space="preserve"> </w:t>
      </w:r>
      <w:r w:rsidRPr="001D7A5B">
        <w:rPr>
          <w:bCs/>
        </w:rPr>
        <w:t xml:space="preserve">generate some spread over </w:t>
      </w:r>
      <w:r w:rsidR="00A50EC2" w:rsidRPr="001D7A5B">
        <w:rPr>
          <w:bCs/>
        </w:rPr>
        <w:t>benchmark Treasury rates.</w:t>
      </w:r>
      <w:r w:rsidR="001D7A5B">
        <w:rPr>
          <w:bCs/>
        </w:rPr>
        <w:t xml:space="preserve"> </w:t>
      </w:r>
    </w:p>
    <w:p w14:paraId="42B74882" w14:textId="5B0570E4" w:rsidR="00974B03" w:rsidRPr="001D7A5B" w:rsidRDefault="003841BD" w:rsidP="00AF1E24">
      <w:pPr>
        <w:pStyle w:val="NoSpacing"/>
        <w:spacing w:after="240" w:line="276" w:lineRule="auto"/>
        <w:rPr>
          <w:bCs/>
        </w:rPr>
      </w:pPr>
      <w:r w:rsidRPr="001D7A5B">
        <w:rPr>
          <w:bCs/>
        </w:rPr>
        <w:t xml:space="preserve">Currently, the best candidate on the purchase side is </w:t>
      </w:r>
      <w:r w:rsidR="001D7A5B">
        <w:rPr>
          <w:bCs/>
        </w:rPr>
        <w:t>a</w:t>
      </w:r>
      <w:r w:rsidRPr="001D7A5B">
        <w:rPr>
          <w:bCs/>
        </w:rPr>
        <w:t xml:space="preserve">gency </w:t>
      </w:r>
      <w:r w:rsidR="001D7A5B">
        <w:rPr>
          <w:bCs/>
        </w:rPr>
        <w:t>m</w:t>
      </w:r>
      <w:r w:rsidRPr="001D7A5B">
        <w:rPr>
          <w:bCs/>
        </w:rPr>
        <w:t>ortgage-</w:t>
      </w:r>
      <w:r w:rsidR="001D7A5B">
        <w:rPr>
          <w:bCs/>
        </w:rPr>
        <w:t>b</w:t>
      </w:r>
      <w:r w:rsidRPr="001D7A5B">
        <w:rPr>
          <w:bCs/>
        </w:rPr>
        <w:t xml:space="preserve">acked </w:t>
      </w:r>
      <w:r w:rsidR="001D7A5B">
        <w:rPr>
          <w:bCs/>
        </w:rPr>
        <w:t>s</w:t>
      </w:r>
      <w:r w:rsidRPr="001D7A5B">
        <w:rPr>
          <w:bCs/>
        </w:rPr>
        <w:t>ecurities (MBS)</w:t>
      </w:r>
      <w:r w:rsidR="00FC355B">
        <w:rPr>
          <w:bCs/>
        </w:rPr>
        <w:t>. T</w:t>
      </w:r>
      <w:r w:rsidR="00EB1955" w:rsidRPr="001D7A5B">
        <w:rPr>
          <w:bCs/>
        </w:rPr>
        <w:t xml:space="preserve">he combination of strong relative valuation, moderate duration and consistent performance across a wide variety of interest rate scenarios give </w:t>
      </w:r>
      <w:r w:rsidR="001D7A5B">
        <w:rPr>
          <w:bCs/>
        </w:rPr>
        <w:t>a</w:t>
      </w:r>
      <w:r w:rsidR="00EB1955" w:rsidRPr="001D7A5B">
        <w:rPr>
          <w:bCs/>
        </w:rPr>
        <w:t>gency MBS a compelling profile for the purchase side of a growth strategy.</w:t>
      </w:r>
    </w:p>
    <w:p w14:paraId="4940F8E6" w14:textId="5CFD9342" w:rsidR="00457D99" w:rsidRPr="001D7A5B" w:rsidRDefault="00292419" w:rsidP="00AF1E24">
      <w:pPr>
        <w:pStyle w:val="NoSpacing"/>
        <w:spacing w:after="240" w:line="276" w:lineRule="auto"/>
        <w:rPr>
          <w:b/>
        </w:rPr>
      </w:pPr>
      <w:r w:rsidRPr="001D7A5B">
        <w:rPr>
          <w:bCs/>
        </w:rPr>
        <w:t xml:space="preserve">Though a multitude of variables can </w:t>
      </w:r>
      <w:r w:rsidR="00FC355B">
        <w:rPr>
          <w:bCs/>
        </w:rPr>
        <w:t xml:space="preserve">affect </w:t>
      </w:r>
      <w:r w:rsidRPr="001D7A5B">
        <w:rPr>
          <w:bCs/>
        </w:rPr>
        <w:t>the spread on a</w:t>
      </w:r>
      <w:r w:rsidR="00974B03" w:rsidRPr="001D7A5B">
        <w:rPr>
          <w:bCs/>
        </w:rPr>
        <w:t xml:space="preserve"> leverage strategy, </w:t>
      </w:r>
      <w:r w:rsidRPr="001D7A5B">
        <w:rPr>
          <w:bCs/>
        </w:rPr>
        <w:t xml:space="preserve">let’s assume that the </w:t>
      </w:r>
      <w:r w:rsidR="001D7A5B">
        <w:rPr>
          <w:bCs/>
        </w:rPr>
        <w:t>two-</w:t>
      </w:r>
      <w:r w:rsidRPr="001D7A5B">
        <w:rPr>
          <w:bCs/>
        </w:rPr>
        <w:t>year Treasury rate plus 10 basis points (0.10%) is a reasonable proxy for funding cost</w:t>
      </w:r>
      <w:r w:rsidR="00FC355B">
        <w:rPr>
          <w:bCs/>
        </w:rPr>
        <w:t xml:space="preserve">. Let’s also assume that </w:t>
      </w:r>
      <w:r w:rsidRPr="001D7A5B">
        <w:rPr>
          <w:bCs/>
        </w:rPr>
        <w:t xml:space="preserve">an average of the 15-year and 30-year </w:t>
      </w:r>
      <w:r w:rsidR="00457D99" w:rsidRPr="001D7A5B">
        <w:rPr>
          <w:bCs/>
        </w:rPr>
        <w:t>Fannie Mae</w:t>
      </w:r>
      <w:r w:rsidRPr="001D7A5B">
        <w:rPr>
          <w:bCs/>
        </w:rPr>
        <w:t xml:space="preserve"> current-coupon mortgage rates is a reasonable proxy for asset yields.</w:t>
      </w:r>
      <w:r w:rsidR="001D7A5B">
        <w:rPr>
          <w:bCs/>
        </w:rPr>
        <w:t xml:space="preserve"> </w:t>
      </w:r>
      <w:r w:rsidRPr="001D7A5B">
        <w:rPr>
          <w:bCs/>
        </w:rPr>
        <w:t>This allows us to track the historical spread available via growth strategies</w:t>
      </w:r>
      <w:r w:rsidR="001D7A5B">
        <w:rPr>
          <w:bCs/>
        </w:rPr>
        <w:t xml:space="preserve"> (see</w:t>
      </w:r>
      <w:r w:rsidRPr="001D7A5B">
        <w:rPr>
          <w:bCs/>
        </w:rPr>
        <w:t xml:space="preserve"> </w:t>
      </w:r>
      <w:r w:rsidR="00FC355B">
        <w:rPr>
          <w:bCs/>
        </w:rPr>
        <w:t>graph</w:t>
      </w:r>
      <w:r w:rsidR="00FD3A0D">
        <w:rPr>
          <w:bCs/>
        </w:rPr>
        <w:t xml:space="preserve"> on next page</w:t>
      </w:r>
      <w:r w:rsidR="001D7A5B">
        <w:rPr>
          <w:bCs/>
        </w:rPr>
        <w:t>)</w:t>
      </w:r>
      <w:r w:rsidRPr="001D7A5B">
        <w:rPr>
          <w:bCs/>
        </w:rPr>
        <w:t>.</w:t>
      </w:r>
    </w:p>
    <w:p w14:paraId="3A994745" w14:textId="68859825" w:rsidR="00F603EC" w:rsidRPr="001D7A5B" w:rsidRDefault="00457D99" w:rsidP="00AF1E24">
      <w:pPr>
        <w:pStyle w:val="NoSpacing"/>
        <w:spacing w:after="240" w:line="276" w:lineRule="auto"/>
        <w:rPr>
          <w:bCs/>
        </w:rPr>
      </w:pPr>
      <w:r w:rsidRPr="001D7A5B">
        <w:rPr>
          <w:bCs/>
        </w:rPr>
        <w:t xml:space="preserve">Examining the data in the </w:t>
      </w:r>
      <w:r w:rsidR="00FC355B">
        <w:rPr>
          <w:bCs/>
        </w:rPr>
        <w:t>graph</w:t>
      </w:r>
      <w:r w:rsidR="00FC355B" w:rsidRPr="001D7A5B">
        <w:rPr>
          <w:bCs/>
        </w:rPr>
        <w:t xml:space="preserve"> </w:t>
      </w:r>
      <w:r w:rsidRPr="001D7A5B">
        <w:rPr>
          <w:bCs/>
        </w:rPr>
        <w:t>shows that the spread on this simple growth strategy has averaged roughly 85 basis points (0.85%) over the past five years.</w:t>
      </w:r>
      <w:r w:rsidR="001D7A5B">
        <w:rPr>
          <w:bCs/>
        </w:rPr>
        <w:t xml:space="preserve"> </w:t>
      </w:r>
      <w:r w:rsidRPr="001D7A5B">
        <w:rPr>
          <w:bCs/>
        </w:rPr>
        <w:t>However, this spread started moving higher in late 2024 and currently sits above 1</w:t>
      </w:r>
      <w:r w:rsidR="00B13F69" w:rsidRPr="001D7A5B">
        <w:rPr>
          <w:bCs/>
        </w:rPr>
        <w:t>15</w:t>
      </w:r>
      <w:r w:rsidRPr="001D7A5B">
        <w:rPr>
          <w:bCs/>
        </w:rPr>
        <w:t xml:space="preserve"> basis points (1.</w:t>
      </w:r>
      <w:r w:rsidR="00B13F69" w:rsidRPr="001D7A5B">
        <w:rPr>
          <w:bCs/>
        </w:rPr>
        <w:t>15</w:t>
      </w:r>
      <w:r w:rsidRPr="001D7A5B">
        <w:rPr>
          <w:bCs/>
        </w:rPr>
        <w:t>%)</w:t>
      </w:r>
      <w:r w:rsidR="00B13F69" w:rsidRPr="001D7A5B">
        <w:rPr>
          <w:bCs/>
        </w:rPr>
        <w:t>, which is in the 89</w:t>
      </w:r>
      <w:r w:rsidR="001D7A5B">
        <w:rPr>
          <w:bCs/>
        </w:rPr>
        <w:t>th</w:t>
      </w:r>
      <w:r w:rsidR="00B13F69" w:rsidRPr="001D7A5B">
        <w:rPr>
          <w:bCs/>
        </w:rPr>
        <w:t xml:space="preserve"> percentile for observations </w:t>
      </w:r>
      <w:r w:rsidR="0032249C" w:rsidRPr="001D7A5B">
        <w:rPr>
          <w:bCs/>
        </w:rPr>
        <w:t>since</w:t>
      </w:r>
      <w:r w:rsidR="00B13F69" w:rsidRPr="001D7A5B">
        <w:rPr>
          <w:bCs/>
        </w:rPr>
        <w:t xml:space="preserve"> the beginning of 2019.</w:t>
      </w:r>
      <w:r w:rsidR="001D7A5B">
        <w:rPr>
          <w:bCs/>
        </w:rPr>
        <w:t xml:space="preserve"> </w:t>
      </w:r>
      <w:r w:rsidR="0032249C" w:rsidRPr="001D7A5B">
        <w:rPr>
          <w:bCs/>
        </w:rPr>
        <w:t>Thus, in addition to broaching the 1.00% spread that many consider the floor level for considering growth strategies, this indicates that the opportunities available today are attractive relative to historical precedent.</w:t>
      </w:r>
    </w:p>
    <w:p w14:paraId="3F62193B" w14:textId="77777777" w:rsidR="00457D99" w:rsidRPr="001D7A5B" w:rsidRDefault="00457D99" w:rsidP="00AF1E24">
      <w:pPr>
        <w:pStyle w:val="NoSpacing"/>
        <w:spacing w:after="240" w:line="276" w:lineRule="auto"/>
        <w:rPr>
          <w:bCs/>
        </w:rPr>
      </w:pPr>
    </w:p>
    <w:p w14:paraId="5CB63257" w14:textId="55FDD00F" w:rsidR="008074CB" w:rsidRPr="001D7A5B" w:rsidRDefault="001D7A5B" w:rsidP="00AF1E24">
      <w:pPr>
        <w:pStyle w:val="NoSpacing"/>
        <w:spacing w:after="240" w:line="276" w:lineRule="auto"/>
      </w:pPr>
      <w:r>
        <w:rPr>
          <w:b/>
        </w:rPr>
        <w:t xml:space="preserve">[subhead] </w:t>
      </w:r>
      <w:r w:rsidR="00FD3A0D">
        <w:rPr>
          <w:b/>
        </w:rPr>
        <w:t>Food for thought</w:t>
      </w:r>
    </w:p>
    <w:p w14:paraId="693CE378" w14:textId="09CD3884" w:rsidR="004B1B8F" w:rsidRPr="001D7A5B" w:rsidRDefault="004B1B8F" w:rsidP="00AF1E24">
      <w:pPr>
        <w:pStyle w:val="NoSpacing"/>
        <w:spacing w:after="240" w:line="276" w:lineRule="auto"/>
      </w:pPr>
      <w:r w:rsidRPr="001D7A5B">
        <w:t>From a strategic perspective, growth strategies are a relatively straightforward way to improve income while u</w:t>
      </w:r>
      <w:r w:rsidR="00225E83">
        <w:t>s</w:t>
      </w:r>
      <w:r w:rsidRPr="001D7A5B">
        <w:t>ing some degree of capital.</w:t>
      </w:r>
      <w:r w:rsidR="001D7A5B">
        <w:t xml:space="preserve"> </w:t>
      </w:r>
      <w:r w:rsidRPr="001D7A5B">
        <w:t xml:space="preserve">In this manner, it is </w:t>
      </w:r>
      <w:proofErr w:type="gramStart"/>
      <w:r w:rsidRPr="001D7A5B">
        <w:t>similar to</w:t>
      </w:r>
      <w:proofErr w:type="gramEnd"/>
      <w:r w:rsidRPr="001D7A5B">
        <w:t xml:space="preserve"> a portfolio repositioning that incurs a loss</w:t>
      </w:r>
      <w:r w:rsidR="00F84472" w:rsidRPr="001D7A5B">
        <w:t xml:space="preserve"> (commonly referred to as a “loss/</w:t>
      </w:r>
      <w:proofErr w:type="spellStart"/>
      <w:r w:rsidR="00F84472" w:rsidRPr="001D7A5B">
        <w:t>earnback</w:t>
      </w:r>
      <w:proofErr w:type="spellEnd"/>
      <w:r w:rsidR="00F84472" w:rsidRPr="001D7A5B">
        <w:t>” trade</w:t>
      </w:r>
      <w:r w:rsidR="00C80F38" w:rsidRPr="001D7A5B">
        <w:t>)</w:t>
      </w:r>
      <w:r w:rsidRPr="001D7A5B">
        <w:t>.</w:t>
      </w:r>
      <w:r w:rsidR="001D7A5B">
        <w:t xml:space="preserve"> </w:t>
      </w:r>
      <w:r w:rsidRPr="001D7A5B">
        <w:t xml:space="preserve">However, there </w:t>
      </w:r>
      <w:r w:rsidR="00C80F38" w:rsidRPr="001D7A5B">
        <w:t>a couple</w:t>
      </w:r>
      <w:r w:rsidRPr="001D7A5B">
        <w:t xml:space="preserve"> key differences.</w:t>
      </w:r>
    </w:p>
    <w:p w14:paraId="656C55AA" w14:textId="3C6AA940" w:rsidR="00F84472" w:rsidRPr="001D7A5B" w:rsidRDefault="00F84472" w:rsidP="00AF1E24">
      <w:pPr>
        <w:pStyle w:val="NoSpacing"/>
        <w:spacing w:after="240" w:line="276" w:lineRule="auto"/>
      </w:pPr>
      <w:r w:rsidRPr="001D7A5B">
        <w:t>One</w:t>
      </w:r>
      <w:r w:rsidR="004B1B8F" w:rsidRPr="001D7A5B">
        <w:t xml:space="preserve"> difference is</w:t>
      </w:r>
      <w:r w:rsidR="00FC355B">
        <w:t xml:space="preserve"> </w:t>
      </w:r>
      <w:r w:rsidR="00FD3A0D" w:rsidRPr="00FD3A0D">
        <w:rPr>
          <w:i/>
          <w:iCs/>
        </w:rPr>
        <w:t>&lt;</w:t>
      </w:r>
      <w:proofErr w:type="spellStart"/>
      <w:r w:rsidR="00FD3A0D" w:rsidRPr="00FD3A0D">
        <w:rPr>
          <w:i/>
          <w:iCs/>
        </w:rPr>
        <w:t>i</w:t>
      </w:r>
      <w:proofErr w:type="spellEnd"/>
      <w:r w:rsidR="00FD3A0D" w:rsidRPr="00FD3A0D">
        <w:rPr>
          <w:i/>
          <w:iCs/>
        </w:rPr>
        <w:t>&gt;</w:t>
      </w:r>
      <w:r w:rsidR="00FC355B" w:rsidRPr="00FD3A0D">
        <w:rPr>
          <w:i/>
          <w:iCs/>
        </w:rPr>
        <w:t>how</w:t>
      </w:r>
      <w:r w:rsidR="00FD3A0D" w:rsidRPr="00FD3A0D">
        <w:rPr>
          <w:i/>
          <w:iCs/>
        </w:rPr>
        <w:t>&lt;</w:t>
      </w:r>
      <w:proofErr w:type="spellStart"/>
      <w:r w:rsidR="00FD3A0D" w:rsidRPr="00FD3A0D">
        <w:rPr>
          <w:i/>
          <w:iCs/>
        </w:rPr>
        <w:t>i</w:t>
      </w:r>
      <w:proofErr w:type="spellEnd"/>
      <w:r w:rsidR="00FD3A0D" w:rsidRPr="00FD3A0D">
        <w:rPr>
          <w:i/>
          <w:iCs/>
        </w:rPr>
        <w:t>&gt;</w:t>
      </w:r>
      <w:r w:rsidR="004B1B8F" w:rsidRPr="001D7A5B">
        <w:t xml:space="preserve"> the capital gets u</w:t>
      </w:r>
      <w:r w:rsidR="00225E83">
        <w:t>s</w:t>
      </w:r>
      <w:r w:rsidR="004B1B8F" w:rsidRPr="001D7A5B">
        <w:t>ed.</w:t>
      </w:r>
      <w:r w:rsidR="001D7A5B">
        <w:t xml:space="preserve"> </w:t>
      </w:r>
      <w:r w:rsidR="004B1B8F" w:rsidRPr="001D7A5B">
        <w:t>Growth strategies spread existing capital over a larger asset base, which reduces capital ratios but keeps the amount of capital the same.</w:t>
      </w:r>
      <w:r w:rsidR="001D7A5B">
        <w:t xml:space="preserve"> </w:t>
      </w:r>
      <w:r w:rsidR="004B1B8F" w:rsidRPr="001D7A5B">
        <w:t xml:space="preserve">By contrast, </w:t>
      </w:r>
      <w:r w:rsidRPr="001D7A5B">
        <w:t>a loss/</w:t>
      </w:r>
      <w:proofErr w:type="spellStart"/>
      <w:r w:rsidRPr="001D7A5B">
        <w:t>earnback</w:t>
      </w:r>
      <w:proofErr w:type="spellEnd"/>
      <w:r w:rsidRPr="001D7A5B">
        <w:t xml:space="preserve"> keeps the asset base the same but reduces the amount of capital supporting those assets.</w:t>
      </w:r>
    </w:p>
    <w:p w14:paraId="519FF0FC" w14:textId="19A867A3" w:rsidR="00595513" w:rsidRPr="001D7A5B" w:rsidRDefault="00F84472" w:rsidP="00AF1E24">
      <w:pPr>
        <w:pStyle w:val="NoSpacing"/>
        <w:spacing w:after="240" w:line="276" w:lineRule="auto"/>
        <w:rPr>
          <w:b/>
        </w:rPr>
      </w:pPr>
      <w:r w:rsidRPr="001D7A5B">
        <w:t>Another difference is the impact</w:t>
      </w:r>
      <w:r w:rsidR="004E7056" w:rsidRPr="001D7A5B">
        <w:t xml:space="preserve"> each has</w:t>
      </w:r>
      <w:r w:rsidRPr="001D7A5B">
        <w:t xml:space="preserve"> on profitability metrics.</w:t>
      </w:r>
      <w:r w:rsidR="001D7A5B">
        <w:t xml:space="preserve"> </w:t>
      </w:r>
      <w:r w:rsidR="00726EAB" w:rsidRPr="001D7A5B">
        <w:t xml:space="preserve">Because growth strategies </w:t>
      </w:r>
      <w:r w:rsidR="0080443F" w:rsidRPr="001D7A5B">
        <w:t>typically feature a narrower spread than the rest of the balance sheet</w:t>
      </w:r>
      <w:r w:rsidR="00C80F38" w:rsidRPr="001D7A5B">
        <w:t xml:space="preserve">, they tend to compress </w:t>
      </w:r>
      <w:r w:rsidR="00225E83">
        <w:t>n</w:t>
      </w:r>
      <w:r w:rsidR="00C80F38" w:rsidRPr="001D7A5B">
        <w:t xml:space="preserve">et </w:t>
      </w:r>
      <w:r w:rsidR="00225E83">
        <w:t>i</w:t>
      </w:r>
      <w:r w:rsidR="00C80F38" w:rsidRPr="001D7A5B">
        <w:t xml:space="preserve">nterest </w:t>
      </w:r>
      <w:r w:rsidR="00225E83">
        <w:t>m</w:t>
      </w:r>
      <w:r w:rsidR="00C80F38" w:rsidRPr="001D7A5B">
        <w:t>argin (NIM).</w:t>
      </w:r>
      <w:r w:rsidR="001D7A5B">
        <w:t xml:space="preserve"> </w:t>
      </w:r>
      <w:r w:rsidR="00225E83">
        <w:t xml:space="preserve">Using </w:t>
      </w:r>
      <w:r w:rsidR="00C80F38" w:rsidRPr="001D7A5B">
        <w:t xml:space="preserve">the existing equity base adds to </w:t>
      </w:r>
      <w:r w:rsidR="00225E83">
        <w:t>r</w:t>
      </w:r>
      <w:r w:rsidR="00C80F38" w:rsidRPr="001D7A5B">
        <w:t xml:space="preserve">eturn on </w:t>
      </w:r>
      <w:r w:rsidR="00225E83">
        <w:t>e</w:t>
      </w:r>
      <w:r w:rsidR="00C80F38" w:rsidRPr="001D7A5B">
        <w:t xml:space="preserve">quity (ROE), while the impact to </w:t>
      </w:r>
      <w:r w:rsidR="00225E83">
        <w:t>r</w:t>
      </w:r>
      <w:r w:rsidR="00C80F38" w:rsidRPr="001D7A5B">
        <w:t xml:space="preserve">eturn on </w:t>
      </w:r>
      <w:r w:rsidR="00225E83">
        <w:t>a</w:t>
      </w:r>
      <w:r w:rsidR="00C80F38" w:rsidRPr="001D7A5B">
        <w:t xml:space="preserve">ssets (ROA) could be positive or negative based on both the specifics of the </w:t>
      </w:r>
      <w:r w:rsidR="00C80F38" w:rsidRPr="001D7A5B">
        <w:lastRenderedPageBreak/>
        <w:t>growth strategy and the starting point for ROA.</w:t>
      </w:r>
      <w:r w:rsidR="001D7A5B">
        <w:t xml:space="preserve"> </w:t>
      </w:r>
      <w:r w:rsidR="00C80F38" w:rsidRPr="001D7A5B">
        <w:t>On the other hand, loss/</w:t>
      </w:r>
      <w:proofErr w:type="spellStart"/>
      <w:r w:rsidR="00C80F38" w:rsidRPr="001D7A5B">
        <w:t>earnback</w:t>
      </w:r>
      <w:proofErr w:type="spellEnd"/>
      <w:r w:rsidR="00C80F38" w:rsidRPr="001D7A5B">
        <w:t xml:space="preserve"> trades are accretive to all three ratios (NIM, ROA and ROE)</w:t>
      </w:r>
      <w:r w:rsidR="00F7434E" w:rsidRPr="001D7A5B">
        <w:t xml:space="preserve"> in the future, but the recognition of losses typically reduces ROA and ROE for the current period</w:t>
      </w:r>
      <w:r w:rsidR="00726EAB" w:rsidRPr="001D7A5B">
        <w:t>.</w:t>
      </w:r>
    </w:p>
    <w:p w14:paraId="09247462" w14:textId="6C487061" w:rsidR="001D7A5B" w:rsidRDefault="00B53D9C" w:rsidP="001D7A5B">
      <w:pPr>
        <w:pStyle w:val="NoSpacing"/>
        <w:spacing w:after="240" w:line="276" w:lineRule="auto"/>
      </w:pPr>
      <w:r w:rsidRPr="001D7A5B">
        <w:t>The near-term reduction in ROA/ROE made many management teams reluctant to pursue loss/</w:t>
      </w:r>
      <w:proofErr w:type="spellStart"/>
      <w:r w:rsidRPr="001D7A5B">
        <w:t>earnback</w:t>
      </w:r>
      <w:proofErr w:type="spellEnd"/>
      <w:r w:rsidRPr="001D7A5B">
        <w:t xml:space="preserve"> strategies, while the inverted curve environment of the past several years limited opportunities to pursue growth strategies.</w:t>
      </w:r>
      <w:r w:rsidR="001D7A5B">
        <w:t xml:space="preserve"> </w:t>
      </w:r>
      <w:r w:rsidRPr="001D7A5B">
        <w:t>As such, a sizable portion of community banks took a hands-off approach to managing the investment portfolio until market conditions improved.</w:t>
      </w:r>
      <w:r w:rsidR="001D7A5B">
        <w:t xml:space="preserve"> </w:t>
      </w:r>
      <w:r w:rsidRPr="001D7A5B">
        <w:t>Recent shifts in curve shape have done that, and it may well be time to give growth strategies another look.</w:t>
      </w:r>
    </w:p>
    <w:p w14:paraId="1CC8DBA3" w14:textId="77777777" w:rsidR="001D7A5B" w:rsidRDefault="001D7A5B" w:rsidP="001D7A5B">
      <w:pPr>
        <w:pStyle w:val="NoSpacing"/>
        <w:spacing w:after="240" w:line="276" w:lineRule="auto"/>
      </w:pPr>
    </w:p>
    <w:p w14:paraId="60DDFE93" w14:textId="42BB1AAD" w:rsidR="001D7A5B" w:rsidRDefault="001D7A5B" w:rsidP="001D7A5B">
      <w:pPr>
        <w:pStyle w:val="NoSpacing"/>
        <w:spacing w:after="240" w:line="276" w:lineRule="auto"/>
      </w:pPr>
      <w:r w:rsidRPr="00AF1E24">
        <w:rPr>
          <w:b/>
          <w:bCs/>
        </w:rPr>
        <w:t>Michael Benedict</w:t>
      </w:r>
      <w:r>
        <w:t xml:space="preserve"> </w:t>
      </w:r>
      <w:r w:rsidRPr="00AF1E24">
        <w:rPr>
          <w:i/>
          <w:iCs/>
        </w:rPr>
        <w:t>(&lt;</w:t>
      </w:r>
      <w:proofErr w:type="spellStart"/>
      <w:r w:rsidRPr="00AF1E24">
        <w:rPr>
          <w:i/>
          <w:iCs/>
        </w:rPr>
        <w:t>i</w:t>
      </w:r>
      <w:proofErr w:type="spellEnd"/>
      <w:r w:rsidRPr="00AF1E24">
        <w:rPr>
          <w:i/>
          <w:iCs/>
        </w:rPr>
        <w:t>&gt;benedictm@stifel.com&lt;</w:t>
      </w:r>
      <w:proofErr w:type="spellStart"/>
      <w:r w:rsidRPr="00AF1E24">
        <w:rPr>
          <w:i/>
          <w:iCs/>
        </w:rPr>
        <w:t>i</w:t>
      </w:r>
      <w:proofErr w:type="spellEnd"/>
      <w:r w:rsidRPr="00AF1E24">
        <w:rPr>
          <w:i/>
          <w:iCs/>
        </w:rPr>
        <w:t>&gt;)</w:t>
      </w:r>
      <w:r>
        <w:t xml:space="preserve"> is a managing director, fixed income strategies, at Stifel, ICBA Securities’ exclusively endorsed broker.</w:t>
      </w:r>
    </w:p>
    <w:p w14:paraId="706B81C7" w14:textId="75E53747" w:rsidR="001D7A5B" w:rsidRDefault="001D7A5B" w:rsidP="001D7A5B">
      <w:pPr>
        <w:pStyle w:val="NoSpacing"/>
        <w:spacing w:after="240" w:line="276" w:lineRule="auto"/>
      </w:pPr>
      <w:r>
        <w:t>[ends]</w:t>
      </w:r>
    </w:p>
    <w:p w14:paraId="0E014887" w14:textId="10F230F9" w:rsidR="001D7A5B" w:rsidRDefault="001D7A5B" w:rsidP="001D7A5B">
      <w:pPr>
        <w:pStyle w:val="NoSpacing"/>
        <w:spacing w:after="240" w:line="276" w:lineRule="auto"/>
      </w:pPr>
      <w:r>
        <w:t>[sidebar]</w:t>
      </w:r>
    </w:p>
    <w:p w14:paraId="1ABB2A97" w14:textId="7885B8DC" w:rsidR="001D7A5B" w:rsidRPr="001D7A5B" w:rsidRDefault="001D7A5B" w:rsidP="001D7A5B">
      <w:pPr>
        <w:pStyle w:val="NoSpacing"/>
        <w:spacing w:after="240" w:line="276" w:lineRule="auto"/>
        <w:rPr>
          <w:b/>
        </w:rPr>
      </w:pPr>
      <w:r w:rsidRPr="001D7A5B">
        <w:rPr>
          <w:b/>
        </w:rPr>
        <w:t xml:space="preserve">Historical </w:t>
      </w:r>
      <w:r w:rsidR="00FC355B">
        <w:rPr>
          <w:b/>
        </w:rPr>
        <w:t>s</w:t>
      </w:r>
      <w:r w:rsidRPr="001D7A5B">
        <w:rPr>
          <w:b/>
        </w:rPr>
        <w:t xml:space="preserve">pread on </w:t>
      </w:r>
      <w:r w:rsidR="00FC355B">
        <w:rPr>
          <w:b/>
        </w:rPr>
        <w:t>p</w:t>
      </w:r>
      <w:r w:rsidRPr="001D7A5B">
        <w:rPr>
          <w:b/>
        </w:rPr>
        <w:t xml:space="preserve">roxy </w:t>
      </w:r>
      <w:r w:rsidR="00FC355B">
        <w:rPr>
          <w:b/>
        </w:rPr>
        <w:t>g</w:t>
      </w:r>
      <w:r w:rsidRPr="001D7A5B">
        <w:rPr>
          <w:b/>
        </w:rPr>
        <w:t xml:space="preserve">rowth </w:t>
      </w:r>
      <w:r w:rsidR="00FC355B">
        <w:rPr>
          <w:b/>
        </w:rPr>
        <w:t>s</w:t>
      </w:r>
      <w:r w:rsidRPr="001D7A5B">
        <w:rPr>
          <w:b/>
        </w:rPr>
        <w:t>trategy</w:t>
      </w:r>
    </w:p>
    <w:p w14:paraId="195DAC10" w14:textId="77777777" w:rsidR="001D7A5B" w:rsidRPr="001D7A5B" w:rsidRDefault="001D7A5B" w:rsidP="001D7A5B">
      <w:pPr>
        <w:pStyle w:val="NoSpacing"/>
        <w:spacing w:after="240" w:line="276" w:lineRule="auto"/>
        <w:rPr>
          <w:b/>
        </w:rPr>
      </w:pPr>
      <w:r w:rsidRPr="001D7A5B">
        <w:rPr>
          <w:b/>
          <w:noProof/>
        </w:rPr>
        <w:drawing>
          <wp:inline distT="0" distB="0" distL="0" distR="0" wp14:anchorId="12F56E11" wp14:editId="6C8C3619">
            <wp:extent cx="5419725" cy="2990850"/>
            <wp:effectExtent l="0" t="0" r="9525" b="0"/>
            <wp:docPr id="1465459698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19725" cy="2990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99EA70C" w14:textId="3D11C27D" w:rsidR="001D7A5B" w:rsidRPr="00AF1E24" w:rsidRDefault="001D7A5B" w:rsidP="001D7A5B">
      <w:pPr>
        <w:pStyle w:val="NoSpacing"/>
        <w:spacing w:after="240" w:line="276" w:lineRule="auto"/>
        <w:rPr>
          <w:bCs/>
        </w:rPr>
      </w:pPr>
      <w:r w:rsidRPr="00AF1E24">
        <w:rPr>
          <w:bCs/>
        </w:rPr>
        <w:t>Source: Bloomberg LP, Stifel</w:t>
      </w:r>
    </w:p>
    <w:p w14:paraId="5AB8AED9" w14:textId="2FA889D8" w:rsidR="00590F51" w:rsidRDefault="001D7A5B" w:rsidP="001D7A5B">
      <w:pPr>
        <w:pStyle w:val="NoSpacing"/>
        <w:spacing w:after="240" w:line="276" w:lineRule="auto"/>
      </w:pPr>
      <w:r>
        <w:t>[sidebar ends]</w:t>
      </w:r>
    </w:p>
    <w:p w14:paraId="0D418706" w14:textId="77777777" w:rsidR="001D7A5B" w:rsidRDefault="001D7A5B" w:rsidP="001D7A5B">
      <w:pPr>
        <w:pStyle w:val="NoSpacing"/>
        <w:spacing w:after="240" w:line="276" w:lineRule="auto"/>
      </w:pPr>
    </w:p>
    <w:p w14:paraId="4C611D52" w14:textId="52B050DA" w:rsidR="001D7A5B" w:rsidRDefault="001D7A5B" w:rsidP="001D7A5B">
      <w:pPr>
        <w:pStyle w:val="NoSpacing"/>
        <w:spacing w:after="240" w:line="276" w:lineRule="auto"/>
      </w:pPr>
      <w:r>
        <w:lastRenderedPageBreak/>
        <w:t>[source]</w:t>
      </w:r>
    </w:p>
    <w:p w14:paraId="05059E33" w14:textId="0523B847" w:rsidR="001D7A5B" w:rsidRPr="001D7A5B" w:rsidRDefault="001D7A5B" w:rsidP="00AF1E24">
      <w:pPr>
        <w:pStyle w:val="NoSpacing"/>
        <w:spacing w:after="240" w:line="276" w:lineRule="auto"/>
      </w:pPr>
      <w:r>
        <w:t>For graph data, see Excel sheet.</w:t>
      </w:r>
    </w:p>
    <w:sectPr w:rsidR="001D7A5B" w:rsidRPr="001D7A5B" w:rsidSect="001D7A5B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820BEE4" w14:textId="77777777" w:rsidR="009F2289" w:rsidRDefault="009F2289" w:rsidP="00E703EC">
      <w:pPr>
        <w:spacing w:after="0" w:line="240" w:lineRule="auto"/>
      </w:pPr>
      <w:r>
        <w:separator/>
      </w:r>
    </w:p>
  </w:endnote>
  <w:endnote w:type="continuationSeparator" w:id="0">
    <w:p w14:paraId="197169E5" w14:textId="77777777" w:rsidR="009F2289" w:rsidRDefault="009F2289" w:rsidP="00E703E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AB5C699" w14:textId="77777777" w:rsidR="009F2289" w:rsidRDefault="009F2289" w:rsidP="00E703EC">
      <w:pPr>
        <w:spacing w:after="0" w:line="240" w:lineRule="auto"/>
      </w:pPr>
      <w:r>
        <w:separator/>
      </w:r>
    </w:p>
  </w:footnote>
  <w:footnote w:type="continuationSeparator" w:id="0">
    <w:p w14:paraId="26CD041F" w14:textId="77777777" w:rsidR="009F2289" w:rsidRDefault="009F2289" w:rsidP="00E703E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84E3B"/>
    <w:multiLevelType w:val="hybridMultilevel"/>
    <w:tmpl w:val="EBB2C82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E5551E6"/>
    <w:multiLevelType w:val="hybridMultilevel"/>
    <w:tmpl w:val="6B424CE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EA024C2"/>
    <w:multiLevelType w:val="hybridMultilevel"/>
    <w:tmpl w:val="A90A8CC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8B5061D"/>
    <w:multiLevelType w:val="hybridMultilevel"/>
    <w:tmpl w:val="69CC0D8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932199962">
    <w:abstractNumId w:val="1"/>
  </w:num>
  <w:num w:numId="2" w16cid:durableId="2074355355">
    <w:abstractNumId w:val="0"/>
  </w:num>
  <w:num w:numId="3" w16cid:durableId="1021080683">
    <w:abstractNumId w:val="2"/>
  </w:num>
  <w:num w:numId="4" w16cid:durableId="913205818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3"/>
  <w:proofState w:spelling="clean" w:grammar="clean"/>
  <w:trackRevisions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F42F9"/>
    <w:rsid w:val="00002996"/>
    <w:rsid w:val="000119C8"/>
    <w:rsid w:val="0001451D"/>
    <w:rsid w:val="00051B36"/>
    <w:rsid w:val="00067C72"/>
    <w:rsid w:val="000760F1"/>
    <w:rsid w:val="000918B2"/>
    <w:rsid w:val="00096416"/>
    <w:rsid w:val="000A241D"/>
    <w:rsid w:val="000A59E3"/>
    <w:rsid w:val="000B7062"/>
    <w:rsid w:val="000C1867"/>
    <w:rsid w:val="000C48F6"/>
    <w:rsid w:val="000E3637"/>
    <w:rsid w:val="00126834"/>
    <w:rsid w:val="001410A8"/>
    <w:rsid w:val="00152CE4"/>
    <w:rsid w:val="001536DE"/>
    <w:rsid w:val="001821B6"/>
    <w:rsid w:val="001906AE"/>
    <w:rsid w:val="001929D5"/>
    <w:rsid w:val="001C7040"/>
    <w:rsid w:val="001D4D81"/>
    <w:rsid w:val="001D7A5B"/>
    <w:rsid w:val="001F3FE3"/>
    <w:rsid w:val="00225E83"/>
    <w:rsid w:val="002409B8"/>
    <w:rsid w:val="00242315"/>
    <w:rsid w:val="00242E5E"/>
    <w:rsid w:val="00274B89"/>
    <w:rsid w:val="00292419"/>
    <w:rsid w:val="002B3D1E"/>
    <w:rsid w:val="002C2217"/>
    <w:rsid w:val="0030279F"/>
    <w:rsid w:val="0032249C"/>
    <w:rsid w:val="0034350F"/>
    <w:rsid w:val="00344B1E"/>
    <w:rsid w:val="003537D9"/>
    <w:rsid w:val="003841BD"/>
    <w:rsid w:val="00393578"/>
    <w:rsid w:val="003C60EA"/>
    <w:rsid w:val="003E102C"/>
    <w:rsid w:val="003E3994"/>
    <w:rsid w:val="003E5370"/>
    <w:rsid w:val="00400CF0"/>
    <w:rsid w:val="00400D81"/>
    <w:rsid w:val="0042539B"/>
    <w:rsid w:val="00457D99"/>
    <w:rsid w:val="004608BC"/>
    <w:rsid w:val="00474A2B"/>
    <w:rsid w:val="00483D2C"/>
    <w:rsid w:val="00491495"/>
    <w:rsid w:val="00496D22"/>
    <w:rsid w:val="004B076E"/>
    <w:rsid w:val="004B1B8F"/>
    <w:rsid w:val="004E3B4E"/>
    <w:rsid w:val="004E5C3A"/>
    <w:rsid w:val="004E7056"/>
    <w:rsid w:val="004F47ED"/>
    <w:rsid w:val="005155C6"/>
    <w:rsid w:val="00521604"/>
    <w:rsid w:val="005218EE"/>
    <w:rsid w:val="00530EBD"/>
    <w:rsid w:val="00536CCA"/>
    <w:rsid w:val="00564204"/>
    <w:rsid w:val="00574717"/>
    <w:rsid w:val="00574DBC"/>
    <w:rsid w:val="00590F51"/>
    <w:rsid w:val="00595513"/>
    <w:rsid w:val="005A559C"/>
    <w:rsid w:val="005C3979"/>
    <w:rsid w:val="00602E37"/>
    <w:rsid w:val="00633310"/>
    <w:rsid w:val="00644498"/>
    <w:rsid w:val="006572F8"/>
    <w:rsid w:val="00681FAA"/>
    <w:rsid w:val="00695A07"/>
    <w:rsid w:val="006B11F8"/>
    <w:rsid w:val="006B4797"/>
    <w:rsid w:val="006C0A36"/>
    <w:rsid w:val="006C0EFF"/>
    <w:rsid w:val="00726717"/>
    <w:rsid w:val="00726EAB"/>
    <w:rsid w:val="00760656"/>
    <w:rsid w:val="00762D2D"/>
    <w:rsid w:val="007667A7"/>
    <w:rsid w:val="00773541"/>
    <w:rsid w:val="00785EBE"/>
    <w:rsid w:val="007A01B4"/>
    <w:rsid w:val="007D04A9"/>
    <w:rsid w:val="007D232A"/>
    <w:rsid w:val="007D3518"/>
    <w:rsid w:val="007E6AD9"/>
    <w:rsid w:val="0080443F"/>
    <w:rsid w:val="008074CB"/>
    <w:rsid w:val="008829C6"/>
    <w:rsid w:val="00883231"/>
    <w:rsid w:val="008860C6"/>
    <w:rsid w:val="008B7DC1"/>
    <w:rsid w:val="008E266B"/>
    <w:rsid w:val="008E5598"/>
    <w:rsid w:val="009106DB"/>
    <w:rsid w:val="00913929"/>
    <w:rsid w:val="00942C67"/>
    <w:rsid w:val="00966225"/>
    <w:rsid w:val="00974B03"/>
    <w:rsid w:val="009831EB"/>
    <w:rsid w:val="00994A89"/>
    <w:rsid w:val="009C7674"/>
    <w:rsid w:val="009D5489"/>
    <w:rsid w:val="009E1F01"/>
    <w:rsid w:val="009E4ECA"/>
    <w:rsid w:val="009F2289"/>
    <w:rsid w:val="009F5973"/>
    <w:rsid w:val="00A15B00"/>
    <w:rsid w:val="00A33A08"/>
    <w:rsid w:val="00A45492"/>
    <w:rsid w:val="00A50EC2"/>
    <w:rsid w:val="00A54221"/>
    <w:rsid w:val="00A56113"/>
    <w:rsid w:val="00A56563"/>
    <w:rsid w:val="00A77F54"/>
    <w:rsid w:val="00AA0E73"/>
    <w:rsid w:val="00AB4F7B"/>
    <w:rsid w:val="00AB6902"/>
    <w:rsid w:val="00AC0C5E"/>
    <w:rsid w:val="00AC449A"/>
    <w:rsid w:val="00AD3786"/>
    <w:rsid w:val="00AF1BC1"/>
    <w:rsid w:val="00AF1E24"/>
    <w:rsid w:val="00AF54B9"/>
    <w:rsid w:val="00B013A6"/>
    <w:rsid w:val="00B04008"/>
    <w:rsid w:val="00B13F69"/>
    <w:rsid w:val="00B30061"/>
    <w:rsid w:val="00B40C2A"/>
    <w:rsid w:val="00B43D0C"/>
    <w:rsid w:val="00B53D9C"/>
    <w:rsid w:val="00B573E2"/>
    <w:rsid w:val="00B94E60"/>
    <w:rsid w:val="00BB0CE8"/>
    <w:rsid w:val="00BC69B9"/>
    <w:rsid w:val="00BC7907"/>
    <w:rsid w:val="00BE1963"/>
    <w:rsid w:val="00C17A2E"/>
    <w:rsid w:val="00C21FBC"/>
    <w:rsid w:val="00C52DE9"/>
    <w:rsid w:val="00C53F91"/>
    <w:rsid w:val="00C56589"/>
    <w:rsid w:val="00C64FF6"/>
    <w:rsid w:val="00C80F38"/>
    <w:rsid w:val="00CA1D46"/>
    <w:rsid w:val="00CB388B"/>
    <w:rsid w:val="00CE708E"/>
    <w:rsid w:val="00CF42F9"/>
    <w:rsid w:val="00D002AE"/>
    <w:rsid w:val="00D00677"/>
    <w:rsid w:val="00D00FF3"/>
    <w:rsid w:val="00D3646F"/>
    <w:rsid w:val="00D513A9"/>
    <w:rsid w:val="00D760AA"/>
    <w:rsid w:val="00D770C8"/>
    <w:rsid w:val="00D80903"/>
    <w:rsid w:val="00D91737"/>
    <w:rsid w:val="00D91B98"/>
    <w:rsid w:val="00DA6186"/>
    <w:rsid w:val="00DA7BA4"/>
    <w:rsid w:val="00DC26BE"/>
    <w:rsid w:val="00DE1978"/>
    <w:rsid w:val="00DE1DE7"/>
    <w:rsid w:val="00DF1003"/>
    <w:rsid w:val="00E64D12"/>
    <w:rsid w:val="00E703EC"/>
    <w:rsid w:val="00E82C9F"/>
    <w:rsid w:val="00E96A20"/>
    <w:rsid w:val="00EB1955"/>
    <w:rsid w:val="00EB2C7A"/>
    <w:rsid w:val="00ED4B08"/>
    <w:rsid w:val="00EE2844"/>
    <w:rsid w:val="00F0051F"/>
    <w:rsid w:val="00F045D9"/>
    <w:rsid w:val="00F05824"/>
    <w:rsid w:val="00F35076"/>
    <w:rsid w:val="00F479B6"/>
    <w:rsid w:val="00F603EC"/>
    <w:rsid w:val="00F72D3F"/>
    <w:rsid w:val="00F7434E"/>
    <w:rsid w:val="00F84472"/>
    <w:rsid w:val="00F95EAF"/>
    <w:rsid w:val="00FC355B"/>
    <w:rsid w:val="00FC3EEF"/>
    <w:rsid w:val="00FC6E06"/>
    <w:rsid w:val="00FD3A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FB70731"/>
  <w15:chartTrackingRefBased/>
  <w15:docId w15:val="{FCD763BD-0443-4E1F-A0DB-D0549CBD086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Theme="minorHAnsi" w:hAnsi="Times New Roman" w:cstheme="minorBidi"/>
        <w:sz w:val="24"/>
        <w:szCs w:val="24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30EBD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AF1BC1"/>
    <w:pPr>
      <w:spacing w:after="0" w:line="240" w:lineRule="auto"/>
    </w:pPr>
  </w:style>
  <w:style w:type="paragraph" w:styleId="FootnoteText">
    <w:name w:val="footnote text"/>
    <w:basedOn w:val="Normal"/>
    <w:link w:val="FootnoteTextChar"/>
    <w:uiPriority w:val="99"/>
    <w:semiHidden/>
    <w:unhideWhenUsed/>
    <w:rsid w:val="00E703EC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E703EC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E703EC"/>
    <w:rPr>
      <w:vertAlign w:val="superscript"/>
    </w:rPr>
  </w:style>
  <w:style w:type="character" w:styleId="CommentReference">
    <w:name w:val="annotation reference"/>
    <w:basedOn w:val="DefaultParagraphFont"/>
    <w:uiPriority w:val="99"/>
    <w:semiHidden/>
    <w:unhideWhenUsed/>
    <w:rsid w:val="006572F8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6572F8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6572F8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6572F8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6572F8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572F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572F8"/>
    <w:rPr>
      <w:rFonts w:ascii="Segoe UI" w:hAnsi="Segoe UI" w:cs="Segoe UI"/>
      <w:sz w:val="18"/>
      <w:szCs w:val="18"/>
    </w:rPr>
  </w:style>
  <w:style w:type="paragraph" w:styleId="Revision">
    <w:name w:val="Revision"/>
    <w:hidden/>
    <w:uiPriority w:val="99"/>
    <w:semiHidden/>
    <w:rsid w:val="00F35076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5DCB213-6C5C-4855-9F0F-D312DD44009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4</Pages>
  <Words>835</Words>
  <Characters>4765</Characters>
  <Application>Microsoft Office Word</Application>
  <DocSecurity>0</DocSecurity>
  <Lines>39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Stifel</Company>
  <LinksUpToDate>false</LinksUpToDate>
  <CharactersWithSpaces>5589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Benedict, Michael (Seattle)</dc:creator>
  <cp:keywords/>
  <dc:description/>
  <cp:lastModifiedBy>Tarra Willox</cp:lastModifiedBy>
  <cp:revision>4</cp:revision>
  <dcterms:created xsi:type="dcterms:W3CDTF">2025-01-24T22:22:00Z</dcterms:created>
  <dcterms:modified xsi:type="dcterms:W3CDTF">2025-02-14T20:30:00Z</dcterms:modified>
</cp:coreProperties>
</file>