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8157CC" w:rsidRDefault="00296592" w:rsidP="008157CC">
      <w:pPr>
        <w:tabs>
          <w:tab w:val="left" w:pos="540"/>
          <w:tab w:val="left" w:pos="2550"/>
        </w:tabs>
        <w:spacing w:line="360" w:lineRule="auto"/>
        <w:rPr>
          <w:rStyle w:val="ICBAbold"/>
        </w:rPr>
      </w:pPr>
      <w:bookmarkStart w:id="0" w:name="_Hlk66104766"/>
      <w:r w:rsidRPr="008157CC">
        <w:rPr>
          <w:rStyle w:val="ICBAbold"/>
        </w:rPr>
        <w:t>Independent Banker</w:t>
      </w:r>
    </w:p>
    <w:p w14:paraId="3AD95FF8" w14:textId="240E69F2" w:rsidR="00296592" w:rsidRPr="008157CC" w:rsidRDefault="00881F20" w:rsidP="008157CC">
      <w:pPr>
        <w:tabs>
          <w:tab w:val="left" w:pos="540"/>
          <w:tab w:val="left" w:pos="2550"/>
        </w:tabs>
        <w:spacing w:line="360" w:lineRule="auto"/>
        <w:rPr>
          <w:rStyle w:val="ICBAbold"/>
        </w:rPr>
      </w:pPr>
      <w:r w:rsidRPr="008157CC">
        <w:rPr>
          <w:rStyle w:val="ICBAbold"/>
        </w:rPr>
        <w:t>March</w:t>
      </w:r>
      <w:r w:rsidR="004A1223" w:rsidRPr="008157CC">
        <w:rPr>
          <w:rStyle w:val="ICBAbold"/>
        </w:rPr>
        <w:t xml:space="preserve"> 2022</w:t>
      </w:r>
    </w:p>
    <w:p w14:paraId="0AA1C8D8" w14:textId="7D676968" w:rsidR="00F86B09" w:rsidRPr="008157CC" w:rsidRDefault="00296592" w:rsidP="008157CC">
      <w:pPr>
        <w:tabs>
          <w:tab w:val="left" w:pos="540"/>
          <w:tab w:val="left" w:pos="2550"/>
        </w:tabs>
        <w:spacing w:line="360" w:lineRule="auto"/>
        <w:rPr>
          <w:rStyle w:val="ICBAbold"/>
          <w:bCs/>
        </w:rPr>
      </w:pPr>
      <w:r w:rsidRPr="008157CC">
        <w:rPr>
          <w:rStyle w:val="ICBAbold"/>
          <w:bCs/>
        </w:rPr>
        <w:t>Portfolio</w:t>
      </w:r>
      <w:r w:rsidR="00536105" w:rsidRPr="008157CC">
        <w:rPr>
          <w:rStyle w:val="ICBAbold"/>
          <w:bCs/>
        </w:rPr>
        <w:t xml:space="preserve"> </w:t>
      </w:r>
    </w:p>
    <w:p w14:paraId="2FAFA8F6" w14:textId="77777777" w:rsidR="00F86B09" w:rsidRPr="008157CC" w:rsidRDefault="00F86B09" w:rsidP="008157CC">
      <w:pPr>
        <w:tabs>
          <w:tab w:val="left" w:pos="540"/>
          <w:tab w:val="left" w:pos="2550"/>
        </w:tabs>
        <w:spacing w:line="360" w:lineRule="auto"/>
        <w:rPr>
          <w:rStyle w:val="ICBAbold"/>
          <w:bCs/>
        </w:rPr>
      </w:pPr>
    </w:p>
    <w:p w14:paraId="7EEED5BF" w14:textId="4CE30E0A" w:rsidR="004C4F00" w:rsidRPr="008157CC" w:rsidRDefault="00F86B09" w:rsidP="008157CC">
      <w:pPr>
        <w:tabs>
          <w:tab w:val="left" w:pos="540"/>
          <w:tab w:val="left" w:pos="2550"/>
        </w:tabs>
        <w:spacing w:line="360" w:lineRule="auto"/>
        <w:rPr>
          <w:rStyle w:val="ICBAbold"/>
          <w:b w:val="0"/>
        </w:rPr>
      </w:pPr>
      <w:r w:rsidRPr="008157CC">
        <w:rPr>
          <w:rStyle w:val="ICBAbold"/>
          <w:b w:val="0"/>
          <w:color w:val="FF0000"/>
        </w:rPr>
        <w:t xml:space="preserve">[tag] </w:t>
      </w:r>
      <w:r w:rsidRPr="008157CC">
        <w:rPr>
          <w:rStyle w:val="ICBAbold"/>
          <w:b w:val="0"/>
        </w:rPr>
        <w:t xml:space="preserve">Portfolio </w:t>
      </w:r>
      <w:r w:rsidR="00296592" w:rsidRPr="008157CC">
        <w:rPr>
          <w:rStyle w:val="ICBAbold"/>
          <w:b w:val="0"/>
        </w:rPr>
        <w:t>Managemen</w:t>
      </w:r>
      <w:r w:rsidR="00BC35B4" w:rsidRPr="008157CC">
        <w:rPr>
          <w:rStyle w:val="ICBAbold"/>
          <w:b w:val="0"/>
        </w:rPr>
        <w:t>t</w:t>
      </w:r>
    </w:p>
    <w:p w14:paraId="2B8AF5A7" w14:textId="77777777" w:rsidR="004C4F00" w:rsidRPr="008157CC" w:rsidRDefault="004C4F00" w:rsidP="008157CC">
      <w:pPr>
        <w:tabs>
          <w:tab w:val="left" w:pos="540"/>
        </w:tabs>
        <w:spacing w:line="360" w:lineRule="auto"/>
        <w:rPr>
          <w:rStyle w:val="ICBAbold"/>
        </w:rPr>
      </w:pPr>
    </w:p>
    <w:p w14:paraId="0CFEC57D" w14:textId="7DB24D19" w:rsidR="007A2F87" w:rsidRPr="008157CC" w:rsidRDefault="009C7D32" w:rsidP="008157CC">
      <w:pPr>
        <w:tabs>
          <w:tab w:val="left" w:pos="540"/>
        </w:tabs>
        <w:spacing w:line="360" w:lineRule="auto"/>
        <w:rPr>
          <w:rStyle w:val="ICBAbold"/>
        </w:rPr>
      </w:pPr>
      <w:r w:rsidRPr="008157CC">
        <w:rPr>
          <w:rStyle w:val="ICBAbold"/>
          <w:b w:val="0"/>
          <w:color w:val="FF0000"/>
        </w:rPr>
        <w:t xml:space="preserve">[hed] </w:t>
      </w:r>
      <w:r w:rsidR="00881F20" w:rsidRPr="008157CC">
        <w:rPr>
          <w:rStyle w:val="ICBAbold"/>
          <w:bCs/>
        </w:rPr>
        <w:t>March sanity</w:t>
      </w:r>
    </w:p>
    <w:p w14:paraId="24EAFA45" w14:textId="77777777" w:rsidR="009C7D32" w:rsidRPr="008157CC" w:rsidRDefault="009C7D32" w:rsidP="008157CC">
      <w:pPr>
        <w:tabs>
          <w:tab w:val="left" w:pos="540"/>
        </w:tabs>
        <w:spacing w:line="360" w:lineRule="auto"/>
        <w:rPr>
          <w:rStyle w:val="ICBAbold"/>
          <w:b w:val="0"/>
        </w:rPr>
      </w:pPr>
    </w:p>
    <w:p w14:paraId="658FE2D6" w14:textId="30249B9F" w:rsidR="004C4F00" w:rsidRPr="008157CC" w:rsidRDefault="009C7D32" w:rsidP="008157CC">
      <w:pPr>
        <w:tabs>
          <w:tab w:val="left" w:pos="540"/>
        </w:tabs>
        <w:spacing w:line="360" w:lineRule="auto"/>
        <w:rPr>
          <w:rStyle w:val="ICBAbold"/>
          <w:b w:val="0"/>
        </w:rPr>
      </w:pPr>
      <w:r w:rsidRPr="008157CC">
        <w:rPr>
          <w:rStyle w:val="ICBAbold"/>
          <w:b w:val="0"/>
          <w:color w:val="FF0000"/>
        </w:rPr>
        <w:t xml:space="preserve">[dek] </w:t>
      </w:r>
      <w:r w:rsidR="00881F20" w:rsidRPr="008157CC">
        <w:rPr>
          <w:bCs/>
        </w:rPr>
        <w:t>This month has proven to be good for bonds</w:t>
      </w:r>
      <w:r w:rsidR="009B19A2">
        <w:rPr>
          <w:bCs/>
        </w:rPr>
        <w:t>.</w:t>
      </w:r>
    </w:p>
    <w:p w14:paraId="3D76A72A" w14:textId="1C136C53" w:rsidR="002D72FA" w:rsidRPr="008157CC" w:rsidRDefault="007A6602" w:rsidP="008157CC">
      <w:pPr>
        <w:tabs>
          <w:tab w:val="left" w:pos="540"/>
        </w:tabs>
        <w:spacing w:line="360" w:lineRule="auto"/>
        <w:rPr>
          <w:rStyle w:val="ICBAbold"/>
          <w:b w:val="0"/>
        </w:rPr>
      </w:pPr>
      <w:r w:rsidRPr="008157CC">
        <w:rPr>
          <w:rStyle w:val="ICBAbold"/>
          <w:b w:val="0"/>
        </w:rPr>
        <w:t xml:space="preserve"> </w:t>
      </w:r>
    </w:p>
    <w:p w14:paraId="0BF7DA84" w14:textId="60F70283" w:rsidR="009C7D32" w:rsidRPr="008157CC" w:rsidRDefault="009C7D32" w:rsidP="008157CC">
      <w:pPr>
        <w:tabs>
          <w:tab w:val="left" w:pos="540"/>
        </w:tabs>
        <w:spacing w:line="360" w:lineRule="auto"/>
        <w:rPr>
          <w:rStyle w:val="ICBAbold"/>
          <w:b w:val="0"/>
          <w:color w:val="FF0000"/>
        </w:rPr>
      </w:pPr>
      <w:r w:rsidRPr="008157CC">
        <w:rPr>
          <w:rStyle w:val="ICBAbold"/>
          <w:b w:val="0"/>
          <w:color w:val="FF0000"/>
        </w:rPr>
        <w:t>[body]</w:t>
      </w:r>
    </w:p>
    <w:p w14:paraId="0678D333" w14:textId="302F5F41" w:rsidR="009B19A2" w:rsidRPr="008157CC" w:rsidRDefault="0013690B" w:rsidP="008157CC">
      <w:pPr>
        <w:tabs>
          <w:tab w:val="left" w:pos="540"/>
        </w:tabs>
        <w:spacing w:line="360" w:lineRule="auto"/>
        <w:rPr>
          <w:rStyle w:val="ICBAbold"/>
          <w:b w:val="0"/>
        </w:rPr>
      </w:pPr>
      <w:r w:rsidRPr="008157CC">
        <w:rPr>
          <w:rStyle w:val="ICBAbold"/>
          <w:b w:val="0"/>
        </w:rPr>
        <w:t xml:space="preserve">If one were to look at the aggregation of literature pertaining to the month of March, you’d see some </w:t>
      </w:r>
      <w:proofErr w:type="gramStart"/>
      <w:r w:rsidRPr="008157CC">
        <w:rPr>
          <w:rStyle w:val="ICBAbold"/>
          <w:b w:val="0"/>
        </w:rPr>
        <w:t>pretty harsh</w:t>
      </w:r>
      <w:proofErr w:type="gramEnd"/>
      <w:r w:rsidRPr="008157CC">
        <w:rPr>
          <w:rStyle w:val="ICBAbold"/>
          <w:b w:val="0"/>
        </w:rPr>
        <w:t xml:space="preserve"> prose and verse</w:t>
      </w:r>
      <w:r w:rsidR="00077E24" w:rsidRPr="008157CC">
        <w:rPr>
          <w:rStyle w:val="ICBAbold"/>
          <w:b w:val="0"/>
        </w:rPr>
        <w:t xml:space="preserve">. To wit: “In like a lion, out like a lamb” isn’t </w:t>
      </w:r>
      <w:r w:rsidR="00D63A5C" w:rsidRPr="008157CC">
        <w:rPr>
          <w:rStyle w:val="ICBAbold"/>
          <w:b w:val="0"/>
        </w:rPr>
        <w:t>much</w:t>
      </w:r>
      <w:r w:rsidR="00077E24" w:rsidRPr="008157CC">
        <w:rPr>
          <w:rStyle w:val="ICBAbold"/>
          <w:b w:val="0"/>
        </w:rPr>
        <w:t xml:space="preserve"> of a promo for the weather. Julius Caesar would have done well to take heed </w:t>
      </w:r>
      <w:r w:rsidR="00646B50" w:rsidRPr="008157CC">
        <w:rPr>
          <w:rStyle w:val="ICBAbold"/>
          <w:b w:val="0"/>
        </w:rPr>
        <w:t>of</w:t>
      </w:r>
      <w:r w:rsidR="00077E24" w:rsidRPr="008157CC">
        <w:rPr>
          <w:rStyle w:val="ICBAbold"/>
          <w:b w:val="0"/>
        </w:rPr>
        <w:t xml:space="preserve"> the “beware the Ides of March” </w:t>
      </w:r>
      <w:r w:rsidR="00646B50" w:rsidRPr="008157CC">
        <w:rPr>
          <w:rStyle w:val="ICBAbold"/>
          <w:b w:val="0"/>
        </w:rPr>
        <w:t>suggestion</w:t>
      </w:r>
      <w:r w:rsidR="00077E24" w:rsidRPr="008157CC">
        <w:rPr>
          <w:rStyle w:val="ICBAbold"/>
          <w:b w:val="0"/>
        </w:rPr>
        <w:t xml:space="preserve">. And then there’s Garrison Keillor’s observation: </w:t>
      </w:r>
      <w:r w:rsidR="00077E24" w:rsidRPr="008157CC">
        <w:t>“March is the month God created to show people who don’t drink what a hangover is like.”</w:t>
      </w:r>
    </w:p>
    <w:p w14:paraId="348F5177" w14:textId="0F99C5E1" w:rsidR="00F12F5B" w:rsidRPr="008157CC" w:rsidRDefault="00646B50" w:rsidP="008157CC">
      <w:pPr>
        <w:tabs>
          <w:tab w:val="left" w:pos="540"/>
        </w:tabs>
        <w:spacing w:line="360" w:lineRule="auto"/>
        <w:rPr>
          <w:rStyle w:val="ICBAbold"/>
          <w:b w:val="0"/>
        </w:rPr>
      </w:pPr>
      <w:r w:rsidRPr="008157CC">
        <w:rPr>
          <w:rStyle w:val="ICBAbold"/>
          <w:b w:val="0"/>
        </w:rPr>
        <w:t>What this has to do with community bank investment management may not be readily apparent.</w:t>
      </w:r>
      <w:r w:rsidR="002D44D1" w:rsidRPr="008157CC">
        <w:rPr>
          <w:rStyle w:val="ICBAbold"/>
          <w:b w:val="0"/>
        </w:rPr>
        <w:t xml:space="preserve"> In fact, the tone is about to improve. Please hang in there as we build a case that, Fed words and actions notwithstanding, March has usually been a good month in which to buy bonds. “March Madness”? No</w:t>
      </w:r>
      <w:r w:rsidR="0057149F" w:rsidRPr="008157CC">
        <w:rPr>
          <w:rStyle w:val="ICBAbold"/>
          <w:b w:val="0"/>
        </w:rPr>
        <w:t>t so often</w:t>
      </w:r>
      <w:r w:rsidR="002D44D1" w:rsidRPr="008157CC">
        <w:rPr>
          <w:rStyle w:val="ICBAbold"/>
          <w:b w:val="0"/>
        </w:rPr>
        <w:t xml:space="preserve">. </w:t>
      </w:r>
    </w:p>
    <w:p w14:paraId="76A96EBD" w14:textId="450557DC" w:rsidR="004E551F" w:rsidRPr="008157CC" w:rsidRDefault="004E551F" w:rsidP="008157CC">
      <w:pPr>
        <w:tabs>
          <w:tab w:val="left" w:pos="540"/>
        </w:tabs>
        <w:spacing w:line="360" w:lineRule="auto"/>
        <w:rPr>
          <w:rStyle w:val="ICBAbold"/>
          <w:b w:val="0"/>
        </w:rPr>
      </w:pPr>
    </w:p>
    <w:p w14:paraId="188BF7EF" w14:textId="72C74C32" w:rsidR="003653F6" w:rsidRPr="008157CC" w:rsidRDefault="009E1EFF" w:rsidP="008157CC">
      <w:pPr>
        <w:tabs>
          <w:tab w:val="left" w:pos="540"/>
        </w:tabs>
        <w:spacing w:line="360" w:lineRule="auto"/>
        <w:rPr>
          <w:rStyle w:val="ICBAbold"/>
          <w:bCs/>
        </w:rPr>
      </w:pPr>
      <w:r w:rsidRPr="008157CC">
        <w:rPr>
          <w:rStyle w:val="ICBAbold"/>
          <w:b w:val="0"/>
          <w:color w:val="FF0000"/>
        </w:rPr>
        <w:t>[subhed]</w:t>
      </w:r>
      <w:r w:rsidRPr="008157CC">
        <w:rPr>
          <w:rStyle w:val="ICBAbold"/>
          <w:bCs/>
          <w:color w:val="FF0000"/>
        </w:rPr>
        <w:t xml:space="preserve"> </w:t>
      </w:r>
      <w:r w:rsidR="002F2612" w:rsidRPr="008157CC">
        <w:rPr>
          <w:rStyle w:val="ICBAbold"/>
          <w:bCs/>
        </w:rPr>
        <w:t>Debt versus equity</w:t>
      </w:r>
    </w:p>
    <w:p w14:paraId="570D65BA" w14:textId="246615CF" w:rsidR="009B19A2" w:rsidRPr="008157CC" w:rsidRDefault="00DE5448" w:rsidP="008157CC">
      <w:pPr>
        <w:tabs>
          <w:tab w:val="left" w:pos="540"/>
        </w:tabs>
        <w:spacing w:line="360" w:lineRule="auto"/>
        <w:rPr>
          <w:rStyle w:val="ICBAbold"/>
          <w:b w:val="0"/>
        </w:rPr>
      </w:pPr>
      <w:r w:rsidRPr="008157CC">
        <w:rPr>
          <w:rStyle w:val="ICBAbold"/>
          <w:b w:val="0"/>
        </w:rPr>
        <w:t xml:space="preserve">As a hostage to the business networks CNBC and Bloomberg TV while working remotely the </w:t>
      </w:r>
      <w:r w:rsidR="00D63A5C" w:rsidRPr="008157CC">
        <w:rPr>
          <w:rStyle w:val="ICBAbold"/>
          <w:b w:val="0"/>
        </w:rPr>
        <w:t xml:space="preserve">past </w:t>
      </w:r>
      <w:r w:rsidRPr="008157CC">
        <w:rPr>
          <w:rStyle w:val="ICBAbold"/>
          <w:b w:val="0"/>
        </w:rPr>
        <w:t xml:space="preserve">two years, I’ve </w:t>
      </w:r>
      <w:r w:rsidR="00D63A5C" w:rsidRPr="008157CC">
        <w:rPr>
          <w:rStyle w:val="ICBAbold"/>
          <w:b w:val="0"/>
        </w:rPr>
        <w:t xml:space="preserve">often </w:t>
      </w:r>
      <w:r w:rsidRPr="008157CC">
        <w:rPr>
          <w:rStyle w:val="ICBAbold"/>
          <w:b w:val="0"/>
        </w:rPr>
        <w:t xml:space="preserve">heard this hypothesis: Bonds are negatively correlated to stocks. This can be true in some cases, but not all. It seems that the relationship really comes down to causation versus correlation. </w:t>
      </w:r>
      <w:r w:rsidR="00EB68DE" w:rsidRPr="008157CC">
        <w:rPr>
          <w:rStyle w:val="ICBAbold"/>
          <w:b w:val="0"/>
        </w:rPr>
        <w:t xml:space="preserve">Fresh on our minds is </w:t>
      </w:r>
      <w:r w:rsidR="009D158E" w:rsidRPr="008157CC">
        <w:rPr>
          <w:rStyle w:val="ICBAbold"/>
          <w:b w:val="0"/>
        </w:rPr>
        <w:t xml:space="preserve">the year </w:t>
      </w:r>
      <w:r w:rsidR="00EB68DE" w:rsidRPr="008157CC">
        <w:rPr>
          <w:rStyle w:val="ICBAbold"/>
          <w:b w:val="0"/>
        </w:rPr>
        <w:t>2020.</w:t>
      </w:r>
    </w:p>
    <w:p w14:paraId="3C79D8F1" w14:textId="60EBA9A9" w:rsidR="00EB68DE" w:rsidRPr="008157CC" w:rsidRDefault="00DE5448" w:rsidP="008157CC">
      <w:pPr>
        <w:tabs>
          <w:tab w:val="left" w:pos="540"/>
        </w:tabs>
        <w:spacing w:line="360" w:lineRule="auto"/>
        <w:rPr>
          <w:rStyle w:val="ICBAbold"/>
          <w:b w:val="0"/>
        </w:rPr>
      </w:pPr>
      <w:r w:rsidRPr="008157CC">
        <w:rPr>
          <w:rStyle w:val="ICBAbold"/>
          <w:b w:val="0"/>
        </w:rPr>
        <w:t xml:space="preserve">In March of that year, while thousands were attending ICBA LIVE in Orlando, the financial markets </w:t>
      </w:r>
      <w:r w:rsidR="001B6A58" w:rsidRPr="008157CC">
        <w:rPr>
          <w:rStyle w:val="ICBAbold"/>
          <w:b w:val="0"/>
        </w:rPr>
        <w:t>went into a frenzy</w:t>
      </w:r>
      <w:r w:rsidRPr="008157CC">
        <w:rPr>
          <w:rStyle w:val="ICBAbold"/>
          <w:b w:val="0"/>
        </w:rPr>
        <w:t>. Up in price were all things viewed as a flight-to-quality haven, mo</w:t>
      </w:r>
      <w:r w:rsidR="002C54F2" w:rsidRPr="008157CC">
        <w:rPr>
          <w:rStyle w:val="ICBAbold"/>
          <w:b w:val="0"/>
        </w:rPr>
        <w:t>st</w:t>
      </w:r>
      <w:r w:rsidRPr="008157CC">
        <w:rPr>
          <w:rStyle w:val="ICBAbold"/>
          <w:b w:val="0"/>
        </w:rPr>
        <w:t xml:space="preserve"> specifically treasury bonds. </w:t>
      </w:r>
      <w:r w:rsidR="005035E0" w:rsidRPr="008157CC">
        <w:rPr>
          <w:rStyle w:val="ICBAbold"/>
          <w:b w:val="0"/>
        </w:rPr>
        <w:t xml:space="preserve">The five-year note rose in price nearly 3% that month. </w:t>
      </w:r>
      <w:r w:rsidR="002C54F2" w:rsidRPr="008157CC">
        <w:rPr>
          <w:rStyle w:val="ICBAbold"/>
          <w:b w:val="0"/>
        </w:rPr>
        <w:t xml:space="preserve">Equities? The S&amp;P 500 Index dropped 12.4%, </w:t>
      </w:r>
      <w:r w:rsidR="005035E0" w:rsidRPr="008157CC">
        <w:rPr>
          <w:rStyle w:val="ICBAbold"/>
          <w:b w:val="0"/>
        </w:rPr>
        <w:t xml:space="preserve">which was the worst monthly stock performance since 2008. </w:t>
      </w:r>
      <w:r w:rsidR="005035E0" w:rsidRPr="008157CC">
        <w:rPr>
          <w:rStyle w:val="ICBAbold"/>
          <w:b w:val="0"/>
        </w:rPr>
        <w:lastRenderedPageBreak/>
        <w:t xml:space="preserve">Clearly, the singular </w:t>
      </w:r>
      <w:r w:rsidR="00EB68DE" w:rsidRPr="008157CC">
        <w:rPr>
          <w:rStyle w:val="ICBAbold"/>
          <w:b w:val="0"/>
        </w:rPr>
        <w:t xml:space="preserve">expectation of economic shutdown affected both sectors, and hence the </w:t>
      </w:r>
      <w:r w:rsidR="00F94CF6" w:rsidRPr="008157CC">
        <w:rPr>
          <w:rStyle w:val="ICBAbold"/>
          <w:b w:val="0"/>
        </w:rPr>
        <w:t>disparate results</w:t>
      </w:r>
      <w:r w:rsidR="009D158E" w:rsidRPr="008157CC">
        <w:rPr>
          <w:rStyle w:val="ICBAbold"/>
          <w:b w:val="0"/>
        </w:rPr>
        <w:t xml:space="preserve">, which seems to argue in favor of negative correlation. </w:t>
      </w:r>
    </w:p>
    <w:p w14:paraId="5D5BF39B" w14:textId="77777777" w:rsidR="003E0F28" w:rsidRPr="008157CC" w:rsidRDefault="003E0F28" w:rsidP="008157CC">
      <w:pPr>
        <w:tabs>
          <w:tab w:val="left" w:pos="540"/>
        </w:tabs>
        <w:spacing w:line="360" w:lineRule="auto"/>
        <w:rPr>
          <w:rStyle w:val="ICBAbold"/>
          <w:bCs/>
        </w:rPr>
      </w:pPr>
    </w:p>
    <w:p w14:paraId="17D11650" w14:textId="092D2D9D" w:rsidR="00272D2A" w:rsidRPr="008157CC" w:rsidRDefault="009E1EFF" w:rsidP="008157CC">
      <w:pPr>
        <w:tabs>
          <w:tab w:val="left" w:pos="540"/>
        </w:tabs>
        <w:spacing w:line="360" w:lineRule="auto"/>
        <w:rPr>
          <w:rStyle w:val="ICBAbold"/>
          <w:bCs/>
        </w:rPr>
      </w:pPr>
      <w:r w:rsidRPr="008157CC">
        <w:rPr>
          <w:rStyle w:val="ICBAbold"/>
          <w:b w:val="0"/>
          <w:color w:val="FF0000"/>
        </w:rPr>
        <w:t>[subhed]</w:t>
      </w:r>
      <w:r w:rsidRPr="008157CC">
        <w:rPr>
          <w:rStyle w:val="ICBAbold"/>
          <w:bCs/>
          <w:color w:val="FF0000"/>
        </w:rPr>
        <w:t xml:space="preserve"> </w:t>
      </w:r>
      <w:r w:rsidR="00CB2F53" w:rsidRPr="008157CC">
        <w:rPr>
          <w:rStyle w:val="ICBAbold"/>
          <w:bCs/>
        </w:rPr>
        <w:t>Belly of the curve matters to community banks</w:t>
      </w:r>
    </w:p>
    <w:p w14:paraId="4B1AC356" w14:textId="7B5F6DD4" w:rsidR="00D82409" w:rsidRDefault="00EB68DE" w:rsidP="0084476B">
      <w:pPr>
        <w:tabs>
          <w:tab w:val="left" w:pos="540"/>
        </w:tabs>
        <w:spacing w:line="360" w:lineRule="auto"/>
        <w:rPr>
          <w:rStyle w:val="ICBAbold"/>
          <w:b w:val="0"/>
        </w:rPr>
      </w:pPr>
      <w:r w:rsidRPr="008157CC">
        <w:rPr>
          <w:rStyle w:val="ICBAbold"/>
          <w:b w:val="0"/>
        </w:rPr>
        <w:t xml:space="preserve">More often, the two operate independently. The bond market, represented in this column by the five-year treasury note, </w:t>
      </w:r>
      <w:r w:rsidR="00EF5C8B" w:rsidRPr="008157CC">
        <w:rPr>
          <w:rStyle w:val="ICBAbold"/>
          <w:b w:val="0"/>
        </w:rPr>
        <w:t>has risen</w:t>
      </w:r>
      <w:r w:rsidR="00D03B2F" w:rsidRPr="008157CC">
        <w:rPr>
          <w:rStyle w:val="ICBAbold"/>
          <w:b w:val="0"/>
        </w:rPr>
        <w:t xml:space="preserve"> </w:t>
      </w:r>
      <w:r w:rsidRPr="008157CC">
        <w:rPr>
          <w:rStyle w:val="ICBAbold"/>
          <w:b w:val="0"/>
        </w:rPr>
        <w:t xml:space="preserve">in </w:t>
      </w:r>
      <w:r w:rsidR="00D03B2F" w:rsidRPr="008157CC">
        <w:rPr>
          <w:rStyle w:val="ICBAbold"/>
          <w:b w:val="0"/>
        </w:rPr>
        <w:t>March</w:t>
      </w:r>
      <w:r w:rsidRPr="008157CC">
        <w:rPr>
          <w:rStyle w:val="ICBAbold"/>
          <w:b w:val="0"/>
        </w:rPr>
        <w:t xml:space="preserve"> seven of the last 10 years</w:t>
      </w:r>
      <w:r w:rsidR="00EF5C8B" w:rsidRPr="008157CC">
        <w:rPr>
          <w:rStyle w:val="ICBAbold"/>
          <w:b w:val="0"/>
        </w:rPr>
        <w:t xml:space="preserve">. Ironically the stock market, using the S&amp;P 500 as a proxy, also has risen </w:t>
      </w:r>
      <w:r w:rsidR="00D03B2F" w:rsidRPr="008157CC">
        <w:rPr>
          <w:rStyle w:val="ICBAbold"/>
          <w:b w:val="0"/>
        </w:rPr>
        <w:t>seven of the last 10, but they’re</w:t>
      </w:r>
      <w:r w:rsidR="00076FD6" w:rsidRPr="008157CC">
        <w:rPr>
          <w:rStyle w:val="ICBAbold"/>
          <w:b w:val="0"/>
        </w:rPr>
        <w:t xml:space="preserve"> a</w:t>
      </w:r>
      <w:r w:rsidR="00D03B2F" w:rsidRPr="008157CC">
        <w:rPr>
          <w:rStyle w:val="ICBAbold"/>
          <w:b w:val="0"/>
        </w:rPr>
        <w:t xml:space="preserve"> </w:t>
      </w:r>
      <w:r w:rsidR="00076FD6" w:rsidRPr="008157CC">
        <w:rPr>
          <w:rStyle w:val="ICBAbold"/>
          <w:b w:val="0"/>
        </w:rPr>
        <w:t>different</w:t>
      </w:r>
      <w:r w:rsidR="00D03B2F" w:rsidRPr="008157CC">
        <w:rPr>
          <w:rStyle w:val="ICBAbold"/>
          <w:b w:val="0"/>
        </w:rPr>
        <w:t xml:space="preserve"> set</w:t>
      </w:r>
      <w:r w:rsidR="00575C10" w:rsidRPr="008157CC">
        <w:rPr>
          <w:rStyle w:val="ICBAbold"/>
          <w:b w:val="0"/>
        </w:rPr>
        <w:t xml:space="preserve"> of years</w:t>
      </w:r>
      <w:r w:rsidR="00D03B2F" w:rsidRPr="008157CC">
        <w:rPr>
          <w:rStyle w:val="ICBAbold"/>
          <w:b w:val="0"/>
        </w:rPr>
        <w:t>.</w:t>
      </w:r>
      <w:r w:rsidR="00575C10" w:rsidRPr="008157CC">
        <w:rPr>
          <w:rStyle w:val="ICBAbold"/>
          <w:b w:val="0"/>
        </w:rPr>
        <w:t xml:space="preserve"> </w:t>
      </w:r>
      <w:r w:rsidR="00D03B2F" w:rsidRPr="008157CC">
        <w:rPr>
          <w:rStyle w:val="ICBAbold"/>
          <w:b w:val="0"/>
        </w:rPr>
        <w:t xml:space="preserve">What also </w:t>
      </w:r>
      <w:r w:rsidR="00F94CF6" w:rsidRPr="008157CC">
        <w:rPr>
          <w:rStyle w:val="ICBAbold"/>
          <w:b w:val="0"/>
        </w:rPr>
        <w:t>deserves</w:t>
      </w:r>
      <w:r w:rsidR="00D03B2F" w:rsidRPr="008157CC">
        <w:rPr>
          <w:rStyle w:val="ICBAbold"/>
          <w:b w:val="0"/>
        </w:rPr>
        <w:t xml:space="preserve"> some </w:t>
      </w:r>
      <w:r w:rsidR="00F94CF6" w:rsidRPr="008157CC">
        <w:rPr>
          <w:rStyle w:val="ICBAbold"/>
          <w:b w:val="0"/>
        </w:rPr>
        <w:t>explanation</w:t>
      </w:r>
      <w:r w:rsidR="00D03B2F" w:rsidRPr="008157CC">
        <w:rPr>
          <w:rStyle w:val="ICBAbold"/>
          <w:b w:val="0"/>
        </w:rPr>
        <w:t xml:space="preserve"> is why I’m using the five-year as our test case. </w:t>
      </w:r>
    </w:p>
    <w:p w14:paraId="4A847FC9" w14:textId="33F7F911" w:rsidR="00F94CF6" w:rsidRPr="008157CC" w:rsidRDefault="00D03B2F" w:rsidP="008157CC">
      <w:pPr>
        <w:tabs>
          <w:tab w:val="left" w:pos="540"/>
        </w:tabs>
        <w:spacing w:line="360" w:lineRule="auto"/>
        <w:rPr>
          <w:rStyle w:val="ICBAbold"/>
          <w:b w:val="0"/>
        </w:rPr>
      </w:pPr>
      <w:r w:rsidRPr="008157CC">
        <w:rPr>
          <w:rStyle w:val="ICBAbold"/>
          <w:b w:val="0"/>
        </w:rPr>
        <w:t>There are really two reasons. First</w:t>
      </w:r>
      <w:r w:rsidR="00F94CF6" w:rsidRPr="008157CC">
        <w:rPr>
          <w:rStyle w:val="ICBAbold"/>
          <w:b w:val="0"/>
        </w:rPr>
        <w:t>, the average duration of a community bank bond portfolio is more than four years</w:t>
      </w:r>
      <w:r w:rsidR="0043584C" w:rsidRPr="008157CC">
        <w:rPr>
          <w:rStyle w:val="ICBAbold"/>
          <w:b w:val="0"/>
        </w:rPr>
        <w:t xml:space="preserve"> right now</w:t>
      </w:r>
      <w:r w:rsidR="00F94CF6" w:rsidRPr="008157CC">
        <w:rPr>
          <w:rStyle w:val="ICBAbold"/>
          <w:b w:val="0"/>
        </w:rPr>
        <w:t>. As we’ve mentioned recently, this is longer than normal; as recently as June 2020, that figure was in the mid-twos. So</w:t>
      </w:r>
      <w:r w:rsidR="009B19A2">
        <w:rPr>
          <w:rStyle w:val="ICBAbold"/>
          <w:b w:val="0"/>
        </w:rPr>
        <w:t>,</w:t>
      </w:r>
      <w:r w:rsidR="00F94CF6" w:rsidRPr="008157CC">
        <w:rPr>
          <w:rStyle w:val="ICBAbold"/>
          <w:b w:val="0"/>
        </w:rPr>
        <w:t xml:space="preserve"> the five-year treasury is a better approximation of the price volatility of what community banks own </w:t>
      </w:r>
      <w:r w:rsidR="00954585" w:rsidRPr="008157CC">
        <w:rPr>
          <w:rStyle w:val="ICBAbold"/>
          <w:b w:val="0"/>
        </w:rPr>
        <w:t>than</w:t>
      </w:r>
      <w:r w:rsidR="00F94CF6" w:rsidRPr="008157CC">
        <w:rPr>
          <w:rStyle w:val="ICBAbold"/>
          <w:b w:val="0"/>
        </w:rPr>
        <w:t xml:space="preserve"> any other benchmark. Second, we know that the treasury yield curve will almost always flatten when interest rates rise, which is widely expected this year. The “belly” of the curve, which most analysts consider to be from three to seven years, forms the fulcrum of the </w:t>
      </w:r>
      <w:r w:rsidR="00BE69EC" w:rsidRPr="008157CC">
        <w:rPr>
          <w:rStyle w:val="ICBAbold"/>
          <w:b w:val="0"/>
        </w:rPr>
        <w:t xml:space="preserve">see-saw. The average change in yields across the maturity spectrum can therefore be distilled </w:t>
      </w:r>
      <w:r w:rsidR="001B6A58" w:rsidRPr="008157CC">
        <w:rPr>
          <w:rStyle w:val="ICBAbold"/>
          <w:b w:val="0"/>
        </w:rPr>
        <w:t xml:space="preserve">to </w:t>
      </w:r>
      <w:r w:rsidR="00BE69EC" w:rsidRPr="008157CC">
        <w:rPr>
          <w:rStyle w:val="ICBAbold"/>
          <w:b w:val="0"/>
        </w:rPr>
        <w:t xml:space="preserve">around five years. </w:t>
      </w:r>
    </w:p>
    <w:p w14:paraId="20E03769" w14:textId="77777777" w:rsidR="002F6BC5" w:rsidRPr="008157CC" w:rsidRDefault="002F6BC5" w:rsidP="008157CC">
      <w:pPr>
        <w:tabs>
          <w:tab w:val="left" w:pos="540"/>
        </w:tabs>
        <w:spacing w:line="360" w:lineRule="auto"/>
        <w:rPr>
          <w:rStyle w:val="ICBAbold"/>
          <w:b w:val="0"/>
        </w:rPr>
      </w:pPr>
    </w:p>
    <w:p w14:paraId="46C62AA4" w14:textId="33DC77FB" w:rsidR="00327F42" w:rsidRPr="008157CC" w:rsidRDefault="009E1EFF" w:rsidP="008157CC">
      <w:pPr>
        <w:tabs>
          <w:tab w:val="left" w:pos="540"/>
        </w:tabs>
        <w:spacing w:line="360" w:lineRule="auto"/>
        <w:rPr>
          <w:rStyle w:val="ICBAbold"/>
          <w:bCs/>
        </w:rPr>
      </w:pPr>
      <w:r w:rsidRPr="008157CC">
        <w:rPr>
          <w:rStyle w:val="ICBAbold"/>
          <w:b w:val="0"/>
          <w:color w:val="FF0000"/>
        </w:rPr>
        <w:t>[subhed]</w:t>
      </w:r>
      <w:r w:rsidRPr="008157CC">
        <w:rPr>
          <w:rStyle w:val="ICBAbold"/>
          <w:bCs/>
          <w:color w:val="FF0000"/>
        </w:rPr>
        <w:t xml:space="preserve"> </w:t>
      </w:r>
      <w:r w:rsidR="00CB2F53" w:rsidRPr="008157CC">
        <w:rPr>
          <w:rStyle w:val="ICBAbold"/>
          <w:bCs/>
        </w:rPr>
        <w:t xml:space="preserve">Cash could </w:t>
      </w:r>
      <w:r w:rsidR="00804AE6" w:rsidRPr="008157CC">
        <w:rPr>
          <w:rStyle w:val="ICBAbold"/>
          <w:bCs/>
        </w:rPr>
        <w:t>stay costly</w:t>
      </w:r>
    </w:p>
    <w:p w14:paraId="08A6A036" w14:textId="5FA9D816" w:rsidR="009B19A2" w:rsidRPr="008157CC" w:rsidRDefault="004463E6" w:rsidP="008157CC">
      <w:pPr>
        <w:tabs>
          <w:tab w:val="left" w:pos="540"/>
        </w:tabs>
        <w:spacing w:line="360" w:lineRule="auto"/>
        <w:rPr>
          <w:rStyle w:val="ICBAbold"/>
          <w:b w:val="0"/>
        </w:rPr>
      </w:pPr>
      <w:r w:rsidRPr="008157CC">
        <w:rPr>
          <w:rStyle w:val="ICBAbold"/>
          <w:b w:val="0"/>
        </w:rPr>
        <w:t xml:space="preserve">It bears mentioning that there’s no telling where rates will go </w:t>
      </w:r>
      <w:proofErr w:type="gramStart"/>
      <w:r w:rsidRPr="008157CC">
        <w:rPr>
          <w:rStyle w:val="ICBAbold"/>
          <w:b w:val="0"/>
        </w:rPr>
        <w:t>in the near future</w:t>
      </w:r>
      <w:proofErr w:type="gramEnd"/>
      <w:r w:rsidRPr="008157CC">
        <w:rPr>
          <w:rStyle w:val="ICBAbold"/>
          <w:b w:val="0"/>
        </w:rPr>
        <w:t xml:space="preserve"> (or at any time in the future</w:t>
      </w:r>
      <w:r w:rsidR="00954585" w:rsidRPr="008157CC">
        <w:rPr>
          <w:rStyle w:val="ICBAbold"/>
          <w:b w:val="0"/>
        </w:rPr>
        <w:t>, for that matter</w:t>
      </w:r>
      <w:r w:rsidRPr="008157CC">
        <w:rPr>
          <w:rStyle w:val="ICBAbold"/>
          <w:b w:val="0"/>
        </w:rPr>
        <w:t xml:space="preserve">). But several thoughts come to mind. One is that the belly’s yields are at cyclical highs as of this writing in early 2022; the five-year’s yield spread over </w:t>
      </w:r>
      <w:r w:rsidR="0043584C" w:rsidRPr="008157CC">
        <w:rPr>
          <w:rStyle w:val="ICBAbold"/>
          <w:b w:val="0"/>
        </w:rPr>
        <w:t xml:space="preserve">fed funds </w:t>
      </w:r>
      <w:r w:rsidRPr="008157CC">
        <w:rPr>
          <w:rStyle w:val="ICBAbold"/>
          <w:b w:val="0"/>
        </w:rPr>
        <w:t xml:space="preserve">is the most in two years. Another is that the futures market </w:t>
      </w:r>
      <w:r w:rsidR="00AA614D" w:rsidRPr="008157CC">
        <w:rPr>
          <w:rStyle w:val="ICBAbold"/>
          <w:b w:val="0"/>
        </w:rPr>
        <w:t xml:space="preserve">is pricing in about </w:t>
      </w:r>
      <w:r w:rsidR="00D71A18" w:rsidRPr="008157CC">
        <w:rPr>
          <w:rStyle w:val="ICBAbold"/>
          <w:b w:val="0"/>
        </w:rPr>
        <w:t xml:space="preserve">four </w:t>
      </w:r>
      <w:r w:rsidR="00AA614D" w:rsidRPr="008157CC">
        <w:rPr>
          <w:rStyle w:val="ICBAbold"/>
          <w:b w:val="0"/>
        </w:rPr>
        <w:t xml:space="preserve">hikes in 2022, and a leveling off </w:t>
      </w:r>
      <w:r w:rsidR="0043584C" w:rsidRPr="008157CC">
        <w:rPr>
          <w:rStyle w:val="ICBAbold"/>
          <w:b w:val="0"/>
        </w:rPr>
        <w:t xml:space="preserve">fed funds </w:t>
      </w:r>
      <w:r w:rsidR="00AA614D" w:rsidRPr="008157CC">
        <w:rPr>
          <w:rStyle w:val="ICBAbold"/>
          <w:b w:val="0"/>
        </w:rPr>
        <w:t xml:space="preserve">around </w:t>
      </w:r>
      <w:r w:rsidR="00D71A18" w:rsidRPr="008157CC">
        <w:rPr>
          <w:rStyle w:val="ICBAbold"/>
          <w:b w:val="0"/>
        </w:rPr>
        <w:t>2</w:t>
      </w:r>
      <w:r w:rsidR="00AA614D" w:rsidRPr="008157CC">
        <w:rPr>
          <w:rStyle w:val="ICBAbold"/>
          <w:b w:val="0"/>
        </w:rPr>
        <w:t>% all the way through 2025. Stated another way, bond yields have already accounted for most of 2022’s expected Fed actions.</w:t>
      </w:r>
    </w:p>
    <w:p w14:paraId="5BEC4AB8" w14:textId="18CDE2D2" w:rsidR="003A114E" w:rsidRDefault="00AA614D" w:rsidP="0084476B">
      <w:pPr>
        <w:tabs>
          <w:tab w:val="left" w:pos="540"/>
        </w:tabs>
        <w:spacing w:line="360" w:lineRule="auto"/>
        <w:rPr>
          <w:rStyle w:val="ICBAbold"/>
          <w:b w:val="0"/>
        </w:rPr>
      </w:pPr>
      <w:r w:rsidRPr="008157CC">
        <w:rPr>
          <w:rStyle w:val="ICBAbold"/>
          <w:b w:val="0"/>
        </w:rPr>
        <w:t>Finally, it could happen that the bonds your community bank buy</w:t>
      </w:r>
      <w:r w:rsidR="0043584C" w:rsidRPr="008157CC">
        <w:rPr>
          <w:rStyle w:val="ICBAbold"/>
          <w:b w:val="0"/>
        </w:rPr>
        <w:t>s</w:t>
      </w:r>
      <w:r w:rsidR="003A114E" w:rsidRPr="008157CC">
        <w:rPr>
          <w:rStyle w:val="ICBAbold"/>
          <w:b w:val="0"/>
        </w:rPr>
        <w:t xml:space="preserve"> </w:t>
      </w:r>
      <w:r w:rsidRPr="008157CC">
        <w:rPr>
          <w:rStyle w:val="ICBAbold"/>
          <w:b w:val="0"/>
        </w:rPr>
        <w:t>and own</w:t>
      </w:r>
      <w:r w:rsidR="0043584C" w:rsidRPr="008157CC">
        <w:rPr>
          <w:rStyle w:val="ICBAbold"/>
          <w:b w:val="0"/>
        </w:rPr>
        <w:t>s</w:t>
      </w:r>
      <w:r w:rsidR="003A114E" w:rsidRPr="008157CC">
        <w:rPr>
          <w:rStyle w:val="ICBAbold"/>
          <w:b w:val="0"/>
        </w:rPr>
        <w:t xml:space="preserve"> </w:t>
      </w:r>
      <w:r w:rsidRPr="008157CC">
        <w:rPr>
          <w:rStyle w:val="ICBAbold"/>
          <w:b w:val="0"/>
        </w:rPr>
        <w:t>don’t move much in terms of yield and price</w:t>
      </w:r>
      <w:r w:rsidR="003A114E" w:rsidRPr="008157CC">
        <w:rPr>
          <w:rStyle w:val="ICBAbold"/>
          <w:b w:val="0"/>
        </w:rPr>
        <w:t xml:space="preserve"> this year. In three consecutive March</w:t>
      </w:r>
      <w:r w:rsidR="0043584C" w:rsidRPr="008157CC">
        <w:rPr>
          <w:rStyle w:val="ICBAbold"/>
          <w:b w:val="0"/>
        </w:rPr>
        <w:t>e</w:t>
      </w:r>
      <w:r w:rsidR="003A114E" w:rsidRPr="008157CC">
        <w:rPr>
          <w:rStyle w:val="ICBAbold"/>
          <w:b w:val="0"/>
        </w:rPr>
        <w:t>s (2017, 2018 and 2019)</w:t>
      </w:r>
      <w:r w:rsidR="00116569">
        <w:rPr>
          <w:rStyle w:val="ICBAbold"/>
          <w:b w:val="0"/>
        </w:rPr>
        <w:t>,</w:t>
      </w:r>
      <w:r w:rsidR="003A114E" w:rsidRPr="008157CC">
        <w:rPr>
          <w:rStyle w:val="ICBAbold"/>
          <w:b w:val="0"/>
        </w:rPr>
        <w:t xml:space="preserve"> the five-year treasury note’s yield fell, even though the Fed either hiked in that calendar month or held rates steady. By 2019, </w:t>
      </w:r>
      <w:r w:rsidR="00D242C7" w:rsidRPr="008157CC">
        <w:rPr>
          <w:rStyle w:val="ICBAbold"/>
          <w:b w:val="0"/>
        </w:rPr>
        <w:t>yields across the entire curve</w:t>
      </w:r>
      <w:r w:rsidRPr="008157CC">
        <w:rPr>
          <w:rStyle w:val="ICBAbold"/>
          <w:b w:val="0"/>
        </w:rPr>
        <w:t xml:space="preserve"> </w:t>
      </w:r>
      <w:r w:rsidR="003A114E" w:rsidRPr="008157CC">
        <w:rPr>
          <w:rStyle w:val="ICBAbold"/>
          <w:b w:val="0"/>
        </w:rPr>
        <w:t xml:space="preserve">had coalesced right around 2.5%. The changes in yields and prices in your own portfolio will be dependent on your sector weightings and certainly your price risk profile. </w:t>
      </w:r>
    </w:p>
    <w:p w14:paraId="7DAD2D8B" w14:textId="77777777" w:rsidR="00116569" w:rsidRPr="008157CC" w:rsidRDefault="00116569" w:rsidP="008157CC">
      <w:pPr>
        <w:tabs>
          <w:tab w:val="left" w:pos="540"/>
        </w:tabs>
        <w:spacing w:line="360" w:lineRule="auto"/>
        <w:rPr>
          <w:rStyle w:val="ICBAbold"/>
          <w:b w:val="0"/>
        </w:rPr>
      </w:pPr>
    </w:p>
    <w:p w14:paraId="51257D4B" w14:textId="08748A07" w:rsidR="003A114E" w:rsidRDefault="003A114E">
      <w:pPr>
        <w:tabs>
          <w:tab w:val="left" w:pos="540"/>
        </w:tabs>
        <w:spacing w:line="360" w:lineRule="auto"/>
        <w:rPr>
          <w:rStyle w:val="ICBAbold"/>
          <w:b w:val="0"/>
        </w:rPr>
      </w:pPr>
      <w:r w:rsidRPr="008157CC">
        <w:rPr>
          <w:rStyle w:val="ICBAbold"/>
          <w:b w:val="0"/>
        </w:rPr>
        <w:lastRenderedPageBreak/>
        <w:t xml:space="preserve">The month of March holds lots of promise and opportunity for community bank </w:t>
      </w:r>
      <w:r w:rsidR="00804AE6" w:rsidRPr="008157CC">
        <w:rPr>
          <w:rStyle w:val="ICBAbold"/>
          <w:b w:val="0"/>
        </w:rPr>
        <w:t>portfolio managers</w:t>
      </w:r>
      <w:r w:rsidRPr="008157CC">
        <w:rPr>
          <w:rStyle w:val="ICBAbold"/>
          <w:b w:val="0"/>
        </w:rPr>
        <w:t xml:space="preserve"> this year. </w:t>
      </w:r>
      <w:r w:rsidR="00804AE6" w:rsidRPr="008157CC">
        <w:rPr>
          <w:rStyle w:val="ICBAbold"/>
          <w:b w:val="0"/>
        </w:rPr>
        <w:t xml:space="preserve">Yields </w:t>
      </w:r>
      <w:proofErr w:type="gramStart"/>
      <w:r w:rsidR="00804AE6" w:rsidRPr="008157CC">
        <w:rPr>
          <w:rStyle w:val="ICBAbold"/>
          <w:b w:val="0"/>
        </w:rPr>
        <w:t xml:space="preserve">are </w:t>
      </w:r>
      <w:r w:rsidR="001137B7" w:rsidRPr="008157CC">
        <w:rPr>
          <w:rStyle w:val="ICBAbold"/>
          <w:b w:val="0"/>
        </w:rPr>
        <w:t xml:space="preserve"> the</w:t>
      </w:r>
      <w:proofErr w:type="gramEnd"/>
      <w:r w:rsidR="001137B7" w:rsidRPr="008157CC">
        <w:rPr>
          <w:rStyle w:val="ICBAbold"/>
          <w:b w:val="0"/>
        </w:rPr>
        <w:t xml:space="preserve"> highest </w:t>
      </w:r>
      <w:r w:rsidR="00804AE6" w:rsidRPr="008157CC">
        <w:rPr>
          <w:rStyle w:val="ICBAbold"/>
          <w:b w:val="0"/>
        </w:rPr>
        <w:t>they’ve been for</w:t>
      </w:r>
      <w:r w:rsidR="001137B7" w:rsidRPr="008157CC">
        <w:rPr>
          <w:rStyle w:val="ICBAbold"/>
          <w:b w:val="0"/>
        </w:rPr>
        <w:t xml:space="preserve"> several years</w:t>
      </w:r>
      <w:r w:rsidR="00804AE6" w:rsidRPr="008157CC">
        <w:rPr>
          <w:rStyle w:val="ICBAbold"/>
          <w:b w:val="0"/>
        </w:rPr>
        <w:t>, and by most measures bank</w:t>
      </w:r>
      <w:r w:rsidR="009C31A9" w:rsidRPr="008157CC">
        <w:rPr>
          <w:rStyle w:val="ICBAbold"/>
          <w:b w:val="0"/>
        </w:rPr>
        <w:t>s</w:t>
      </w:r>
      <w:r w:rsidR="00804AE6" w:rsidRPr="008157CC">
        <w:rPr>
          <w:rStyle w:val="ICBAbold"/>
          <w:b w:val="0"/>
        </w:rPr>
        <w:t xml:space="preserve"> still have more than adequate liquidity</w:t>
      </w:r>
      <w:r w:rsidR="009C31A9" w:rsidRPr="008157CC">
        <w:rPr>
          <w:rStyle w:val="ICBAbold"/>
          <w:b w:val="0"/>
        </w:rPr>
        <w:t>. For</w:t>
      </w:r>
      <w:r w:rsidR="00804AE6" w:rsidRPr="008157CC">
        <w:rPr>
          <w:rStyle w:val="ICBAbold"/>
          <w:b w:val="0"/>
        </w:rPr>
        <w:t xml:space="preserve"> the municipal sector, spring is often when supplies begin to reappear. </w:t>
      </w:r>
      <w:r w:rsidR="009C31A9" w:rsidRPr="008157CC">
        <w:rPr>
          <w:rStyle w:val="ICBAbold"/>
          <w:b w:val="0"/>
        </w:rPr>
        <w:t xml:space="preserve">For </w:t>
      </w:r>
      <w:r w:rsidR="004437C1" w:rsidRPr="008157CC">
        <w:rPr>
          <w:rStyle w:val="ICBAbold"/>
          <w:b w:val="0"/>
        </w:rPr>
        <w:t>all the</w:t>
      </w:r>
      <w:r w:rsidR="009C31A9" w:rsidRPr="008157CC">
        <w:rPr>
          <w:rStyle w:val="ICBAbold"/>
          <w:b w:val="0"/>
        </w:rPr>
        <w:t xml:space="preserve"> </w:t>
      </w:r>
      <w:r w:rsidR="004437C1" w:rsidRPr="008157CC">
        <w:rPr>
          <w:rStyle w:val="ICBAbold"/>
          <w:b w:val="0"/>
        </w:rPr>
        <w:t>college</w:t>
      </w:r>
      <w:r w:rsidR="009C31A9" w:rsidRPr="008157CC">
        <w:rPr>
          <w:rStyle w:val="ICBAbold"/>
          <w:b w:val="0"/>
        </w:rPr>
        <w:t xml:space="preserve"> basketball fans, </w:t>
      </w:r>
      <w:r w:rsidR="004437C1" w:rsidRPr="008157CC">
        <w:rPr>
          <w:rStyle w:val="ICBAbold"/>
          <w:b w:val="0"/>
        </w:rPr>
        <w:t xml:space="preserve">you can </w:t>
      </w:r>
      <w:r w:rsidR="009C31A9" w:rsidRPr="008157CC">
        <w:rPr>
          <w:rStyle w:val="ICBAbold"/>
          <w:b w:val="0"/>
        </w:rPr>
        <w:t xml:space="preserve">dream of a deep run into March Madness for both your favorite team and your own bracket(s). </w:t>
      </w:r>
      <w:r w:rsidR="00FB0681" w:rsidRPr="008157CC">
        <w:rPr>
          <w:rStyle w:val="ICBAbold"/>
          <w:b w:val="0"/>
        </w:rPr>
        <w:t>As we learned from Alexander Pope, “</w:t>
      </w:r>
      <w:r w:rsidR="0043584C" w:rsidRPr="008157CC">
        <w:rPr>
          <w:rStyle w:val="ICBAbold"/>
          <w:b w:val="0"/>
        </w:rPr>
        <w:t xml:space="preserve">Hope </w:t>
      </w:r>
      <w:r w:rsidR="00FB0681" w:rsidRPr="008157CC">
        <w:rPr>
          <w:rStyle w:val="ICBAbold"/>
          <w:b w:val="0"/>
        </w:rPr>
        <w:t xml:space="preserve">springs eternal.” And good luck with those longshots. </w:t>
      </w:r>
    </w:p>
    <w:p w14:paraId="0D33F1D0" w14:textId="7291F211" w:rsidR="0084476B" w:rsidRDefault="0084476B" w:rsidP="0084476B">
      <w:pPr>
        <w:tabs>
          <w:tab w:val="left" w:pos="540"/>
        </w:tabs>
        <w:spacing w:line="360" w:lineRule="auto"/>
        <w:rPr>
          <w:color w:val="000000" w:themeColor="text1"/>
        </w:rPr>
      </w:pPr>
    </w:p>
    <w:p w14:paraId="400FB91A" w14:textId="77777777" w:rsidR="0084476B" w:rsidRPr="00FE0332" w:rsidRDefault="0084476B" w:rsidP="0084476B">
      <w:pPr>
        <w:tabs>
          <w:tab w:val="left" w:pos="540"/>
        </w:tabs>
        <w:spacing w:line="360" w:lineRule="auto"/>
        <w:rPr>
          <w:i/>
        </w:rPr>
      </w:pPr>
      <w:r w:rsidRPr="00FE0332">
        <w:rPr>
          <w:rStyle w:val="ICBAbold"/>
          <w:i/>
        </w:rPr>
        <w:t>Jim Reber</w:t>
      </w:r>
      <w:r w:rsidRPr="00FE0332">
        <w:rPr>
          <w:i/>
        </w:rPr>
        <w:t xml:space="preserve"> (</w:t>
      </w:r>
      <w:hyperlink r:id="rId6" w:history="1">
        <w:r w:rsidRPr="00FE0332">
          <w:rPr>
            <w:rStyle w:val="Hyperlink"/>
            <w:i/>
          </w:rPr>
          <w:t>jreber@icbasecurities.com</w:t>
        </w:r>
      </w:hyperlink>
      <w:r w:rsidRPr="00FE0332">
        <w:rPr>
          <w:i/>
        </w:rPr>
        <w:t xml:space="preserve">) is president and CEO of ICBA Securities, ICBA’s institutional, fixed-income broker-dealer for community banks </w:t>
      </w:r>
    </w:p>
    <w:p w14:paraId="6537C89A" w14:textId="77777777" w:rsidR="001B6A58" w:rsidRPr="008157CC" w:rsidRDefault="001B6A58" w:rsidP="008157CC">
      <w:pPr>
        <w:tabs>
          <w:tab w:val="left" w:pos="540"/>
        </w:tabs>
        <w:spacing w:line="360" w:lineRule="auto"/>
        <w:rPr>
          <w:color w:val="000000" w:themeColor="text1"/>
        </w:rPr>
      </w:pPr>
    </w:p>
    <w:p w14:paraId="5C0C1D4C" w14:textId="0F496F88" w:rsidR="00D127B2" w:rsidRPr="008157CC" w:rsidRDefault="005F6DFA" w:rsidP="008157CC">
      <w:pPr>
        <w:spacing w:line="360" w:lineRule="auto"/>
        <w:rPr>
          <w:rStyle w:val="ICBAbold"/>
          <w:bCs/>
        </w:rPr>
      </w:pPr>
      <w:r w:rsidRPr="008157CC">
        <w:rPr>
          <w:rStyle w:val="ICBAbold"/>
          <w:b w:val="0"/>
          <w:color w:val="FF0000"/>
        </w:rPr>
        <w:t>[sidebar]</w:t>
      </w:r>
      <w:r w:rsidR="008E2EF6" w:rsidRPr="008157CC">
        <w:rPr>
          <w:rStyle w:val="ICBAbold"/>
          <w:b w:val="0"/>
          <w:color w:val="FF0000"/>
        </w:rPr>
        <w:t xml:space="preserve"> </w:t>
      </w:r>
      <w:r w:rsidR="00D127B2" w:rsidRPr="008157CC">
        <w:rPr>
          <w:rStyle w:val="ICBAbold"/>
          <w:bCs/>
        </w:rPr>
        <w:t xml:space="preserve">Education on </w:t>
      </w:r>
      <w:r w:rsidR="008E2EF6" w:rsidRPr="008157CC">
        <w:rPr>
          <w:rStyle w:val="ICBAbold"/>
          <w:bCs/>
        </w:rPr>
        <w:t>tap</w:t>
      </w:r>
    </w:p>
    <w:p w14:paraId="0F487EBD" w14:textId="23E7C7AA" w:rsidR="009F09CD" w:rsidRPr="008157CC" w:rsidRDefault="009F09CD" w:rsidP="008157CC">
      <w:pPr>
        <w:spacing w:line="360" w:lineRule="auto"/>
        <w:rPr>
          <w:rStyle w:val="ICBAbold"/>
          <w:b w:val="0"/>
        </w:rPr>
      </w:pPr>
      <w:r w:rsidRPr="008157CC">
        <w:rPr>
          <w:rStyle w:val="ICBAbold"/>
          <w:bCs/>
        </w:rPr>
        <w:t xml:space="preserve">2022 </w:t>
      </w:r>
      <w:r w:rsidR="00972C1B" w:rsidRPr="008157CC">
        <w:rPr>
          <w:rStyle w:val="ICBAbold"/>
          <w:bCs/>
        </w:rPr>
        <w:t xml:space="preserve">webinar </w:t>
      </w:r>
      <w:r w:rsidRPr="008157CC">
        <w:rPr>
          <w:rStyle w:val="ICBAbold"/>
          <w:bCs/>
        </w:rPr>
        <w:t xml:space="preserve">series </w:t>
      </w:r>
      <w:r w:rsidR="004F5A4C" w:rsidRPr="008157CC">
        <w:rPr>
          <w:rStyle w:val="ICBAbold"/>
          <w:bCs/>
        </w:rPr>
        <w:t>continues</w:t>
      </w:r>
    </w:p>
    <w:p w14:paraId="08B7D3EA" w14:textId="7B372244" w:rsidR="009F09CD" w:rsidRPr="008157CC" w:rsidRDefault="009F09CD" w:rsidP="008157CC">
      <w:pPr>
        <w:spacing w:line="360" w:lineRule="auto"/>
        <w:rPr>
          <w:rStyle w:val="ICBAbold"/>
          <w:b w:val="0"/>
        </w:rPr>
      </w:pPr>
      <w:r w:rsidRPr="008157CC">
        <w:rPr>
          <w:rStyle w:val="ICBAbold"/>
          <w:b w:val="0"/>
        </w:rPr>
        <w:t xml:space="preserve">ICBA Securities and its exclusive broker Vining Sparks </w:t>
      </w:r>
      <w:r w:rsidR="0029771B" w:rsidRPr="008157CC">
        <w:rPr>
          <w:rStyle w:val="ICBAbold"/>
          <w:b w:val="0"/>
        </w:rPr>
        <w:t xml:space="preserve">present the next installment </w:t>
      </w:r>
      <w:r w:rsidR="0043584C" w:rsidRPr="008157CC">
        <w:rPr>
          <w:rStyle w:val="ICBAbold"/>
          <w:b w:val="0"/>
        </w:rPr>
        <w:t>o</w:t>
      </w:r>
      <w:r w:rsidR="0029771B" w:rsidRPr="008157CC">
        <w:rPr>
          <w:rStyle w:val="ICBAbold"/>
          <w:b w:val="0"/>
        </w:rPr>
        <w:t>f the</w:t>
      </w:r>
      <w:r w:rsidR="00972C1B" w:rsidRPr="008157CC">
        <w:rPr>
          <w:rStyle w:val="ICBAbold"/>
          <w:b w:val="0"/>
        </w:rPr>
        <w:t xml:space="preserve"> </w:t>
      </w:r>
      <w:r w:rsidRPr="008157CC">
        <w:rPr>
          <w:rStyle w:val="ICBAbold"/>
          <w:b w:val="0"/>
        </w:rPr>
        <w:t xml:space="preserve">2022 Community Banking Matters webinar series on </w:t>
      </w:r>
      <w:r w:rsidR="0029771B" w:rsidRPr="008157CC">
        <w:rPr>
          <w:rStyle w:val="ICBAbold"/>
          <w:b w:val="0"/>
        </w:rPr>
        <w:t>Mar</w:t>
      </w:r>
      <w:r w:rsidR="0043584C" w:rsidRPr="008157CC">
        <w:rPr>
          <w:rStyle w:val="ICBAbold"/>
          <w:b w:val="0"/>
        </w:rPr>
        <w:t>ch</w:t>
      </w:r>
      <w:r w:rsidR="0029771B" w:rsidRPr="008157CC">
        <w:rPr>
          <w:rStyle w:val="ICBAbold"/>
          <w:b w:val="0"/>
        </w:rPr>
        <w:t xml:space="preserve"> 8</w:t>
      </w:r>
      <w:r w:rsidRPr="008157CC">
        <w:rPr>
          <w:rStyle w:val="ICBAbold"/>
          <w:b w:val="0"/>
        </w:rPr>
        <w:t xml:space="preserve"> at 10</w:t>
      </w:r>
      <w:r w:rsidR="00D43A71" w:rsidRPr="008157CC">
        <w:rPr>
          <w:rStyle w:val="ICBAbold"/>
          <w:b w:val="0"/>
        </w:rPr>
        <w:t xml:space="preserve"> a.m. </w:t>
      </w:r>
      <w:r w:rsidRPr="008157CC">
        <w:rPr>
          <w:rStyle w:val="ICBAbold"/>
          <w:b w:val="0"/>
        </w:rPr>
        <w:t xml:space="preserve">Central. </w:t>
      </w:r>
      <w:r w:rsidR="0029771B" w:rsidRPr="008157CC">
        <w:rPr>
          <w:rStyle w:val="ICBAbold"/>
          <w:b w:val="0"/>
        </w:rPr>
        <w:t xml:space="preserve">The topic is </w:t>
      </w:r>
      <w:r w:rsidRPr="008157CC">
        <w:rPr>
          <w:rStyle w:val="ICBAbold"/>
          <w:b w:val="0"/>
        </w:rPr>
        <w:t>“</w:t>
      </w:r>
      <w:r w:rsidR="0029771B" w:rsidRPr="008157CC">
        <w:rPr>
          <w:rStyle w:val="ICBAbold"/>
          <w:b w:val="0"/>
        </w:rPr>
        <w:t>Balance Sheet Strategies in an Expected Tightening Cycle</w:t>
      </w:r>
      <w:r w:rsidRPr="008157CC">
        <w:rPr>
          <w:rStyle w:val="ICBAbold"/>
          <w:b w:val="0"/>
        </w:rPr>
        <w:t>.” To register</w:t>
      </w:r>
      <w:r w:rsidR="00D43A71" w:rsidRPr="008157CC">
        <w:rPr>
          <w:rStyle w:val="ICBAbold"/>
          <w:b w:val="0"/>
        </w:rPr>
        <w:t>,</w:t>
      </w:r>
      <w:r w:rsidRPr="008157CC">
        <w:rPr>
          <w:rStyle w:val="ICBAbold"/>
          <w:b w:val="0"/>
        </w:rPr>
        <w:t xml:space="preserve"> visit </w:t>
      </w:r>
      <w:hyperlink r:id="rId7" w:history="1">
        <w:r w:rsidRPr="008157CC">
          <w:rPr>
            <w:rStyle w:val="Hyperlink"/>
          </w:rPr>
          <w:t>viningsparks.com</w:t>
        </w:r>
      </w:hyperlink>
      <w:r w:rsidR="00116569">
        <w:rPr>
          <w:rStyle w:val="Hyperlink"/>
        </w:rPr>
        <w:t>.</w:t>
      </w:r>
    </w:p>
    <w:p w14:paraId="2ADB11F9" w14:textId="314D385A" w:rsidR="009F09CD" w:rsidRPr="008157CC" w:rsidRDefault="009F09CD" w:rsidP="008157CC">
      <w:pPr>
        <w:spacing w:line="360" w:lineRule="auto"/>
        <w:rPr>
          <w:rStyle w:val="ICBAbold"/>
          <w:b w:val="0"/>
        </w:rPr>
      </w:pPr>
    </w:p>
    <w:p w14:paraId="7A77A5B1" w14:textId="1BDE08B5" w:rsidR="009F09CD" w:rsidRPr="008157CC" w:rsidRDefault="0029771B" w:rsidP="008157CC">
      <w:pPr>
        <w:spacing w:line="360" w:lineRule="auto"/>
        <w:rPr>
          <w:rStyle w:val="ICBAbold"/>
          <w:bCs/>
        </w:rPr>
      </w:pPr>
      <w:r w:rsidRPr="008157CC">
        <w:rPr>
          <w:rStyle w:val="ICBAbold"/>
          <w:bCs/>
        </w:rPr>
        <w:t>Bond Academy registration opens</w:t>
      </w:r>
    </w:p>
    <w:p w14:paraId="6B4388BE" w14:textId="0D2A8777" w:rsidR="009F09CD" w:rsidRPr="008157CC" w:rsidRDefault="0029771B" w:rsidP="008157CC">
      <w:pPr>
        <w:spacing w:line="360" w:lineRule="auto"/>
        <w:rPr>
          <w:rStyle w:val="ICBAbold"/>
          <w:b w:val="0"/>
        </w:rPr>
      </w:pPr>
      <w:r w:rsidRPr="008157CC">
        <w:rPr>
          <w:rStyle w:val="ICBAbold"/>
          <w:b w:val="0"/>
        </w:rPr>
        <w:t>ICBA Securities and Vining Sparks will host the 2022 Bond Academy live in Memphis, Tenn. on Apr</w:t>
      </w:r>
      <w:r w:rsidR="0043584C" w:rsidRPr="008157CC">
        <w:rPr>
          <w:rStyle w:val="ICBAbold"/>
          <w:b w:val="0"/>
        </w:rPr>
        <w:t>il</w:t>
      </w:r>
      <w:r w:rsidR="00400D74" w:rsidRPr="008157CC">
        <w:rPr>
          <w:rStyle w:val="ICBAbold"/>
          <w:b w:val="0"/>
        </w:rPr>
        <w:t xml:space="preserve"> </w:t>
      </w:r>
      <w:r w:rsidRPr="008157CC">
        <w:rPr>
          <w:rStyle w:val="ICBAbold"/>
          <w:b w:val="0"/>
        </w:rPr>
        <w:t>2</w:t>
      </w:r>
      <w:r w:rsidR="00076FD6" w:rsidRPr="008157CC">
        <w:rPr>
          <w:rStyle w:val="ICBAbold"/>
          <w:b w:val="0"/>
        </w:rPr>
        <w:t>5</w:t>
      </w:r>
      <w:r w:rsidR="00116569">
        <w:rPr>
          <w:rStyle w:val="ICBAbold"/>
          <w:b w:val="0"/>
        </w:rPr>
        <w:t>–</w:t>
      </w:r>
      <w:r w:rsidRPr="008157CC">
        <w:rPr>
          <w:rStyle w:val="ICBAbold"/>
          <w:b w:val="0"/>
        </w:rPr>
        <w:t>2</w:t>
      </w:r>
      <w:r w:rsidR="00076FD6" w:rsidRPr="008157CC">
        <w:rPr>
          <w:rStyle w:val="ICBAbold"/>
          <w:b w:val="0"/>
        </w:rPr>
        <w:t>6</w:t>
      </w:r>
      <w:r w:rsidRPr="008157CC">
        <w:rPr>
          <w:rStyle w:val="ICBAbold"/>
          <w:b w:val="0"/>
        </w:rPr>
        <w:t xml:space="preserve">. Up to 12 hours of CPE credit </w:t>
      </w:r>
      <w:r w:rsidR="00F87983" w:rsidRPr="008157CC">
        <w:rPr>
          <w:rStyle w:val="ICBAbold"/>
          <w:b w:val="0"/>
        </w:rPr>
        <w:t>are</w:t>
      </w:r>
      <w:r w:rsidRPr="008157CC">
        <w:rPr>
          <w:rStyle w:val="ICBAbold"/>
          <w:b w:val="0"/>
        </w:rPr>
        <w:t xml:space="preserve"> offered. For more information</w:t>
      </w:r>
      <w:r w:rsidR="0043584C" w:rsidRPr="008157CC">
        <w:rPr>
          <w:rStyle w:val="ICBAbold"/>
          <w:b w:val="0"/>
        </w:rPr>
        <w:t>,</w:t>
      </w:r>
      <w:r w:rsidRPr="008157CC">
        <w:rPr>
          <w:rStyle w:val="ICBAbold"/>
          <w:b w:val="0"/>
        </w:rPr>
        <w:t xml:space="preserve"> contact </w:t>
      </w:r>
      <w:r w:rsidR="00F87983" w:rsidRPr="008157CC">
        <w:rPr>
          <w:rStyle w:val="ICBAbold"/>
          <w:b w:val="0"/>
        </w:rPr>
        <w:t xml:space="preserve">Jim Reber or your </w:t>
      </w:r>
      <w:r w:rsidRPr="008157CC">
        <w:rPr>
          <w:rStyle w:val="ICBAbold"/>
          <w:b w:val="0"/>
        </w:rPr>
        <w:t>Vining Sparks</w:t>
      </w:r>
      <w:r w:rsidR="00F87983" w:rsidRPr="008157CC">
        <w:rPr>
          <w:rStyle w:val="ICBAbold"/>
          <w:b w:val="0"/>
        </w:rPr>
        <w:t xml:space="preserve"> sales rep</w:t>
      </w:r>
      <w:r w:rsidRPr="008157CC">
        <w:rPr>
          <w:rStyle w:val="ICBAbold"/>
          <w:b w:val="0"/>
        </w:rPr>
        <w:t xml:space="preserve">. </w:t>
      </w:r>
    </w:p>
    <w:bookmarkEnd w:id="0"/>
    <w:p w14:paraId="78D896D5" w14:textId="72D49D64" w:rsidR="009E1EFF" w:rsidRDefault="009E1EFF" w:rsidP="00107EE1">
      <w:pPr>
        <w:rPr>
          <w:rStyle w:val="ICBAbold"/>
          <w:rFonts w:asciiTheme="minorHAnsi" w:hAnsiTheme="minorHAnsi" w:cstheme="minorHAnsi"/>
          <w:b w:val="0"/>
        </w:rPr>
      </w:pPr>
    </w:p>
    <w:sectPr w:rsidR="009E1EFF"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8"/>
  </w:num>
  <w:num w:numId="3">
    <w:abstractNumId w:val="15"/>
  </w:num>
  <w:num w:numId="4">
    <w:abstractNumId w:val="33"/>
  </w:num>
  <w:num w:numId="5">
    <w:abstractNumId w:val="12"/>
  </w:num>
  <w:num w:numId="6">
    <w:abstractNumId w:val="25"/>
  </w:num>
  <w:num w:numId="7">
    <w:abstractNumId w:val="22"/>
  </w:num>
  <w:num w:numId="8">
    <w:abstractNumId w:val="0"/>
  </w:num>
  <w:num w:numId="9">
    <w:abstractNumId w:val="23"/>
  </w:num>
  <w:num w:numId="10">
    <w:abstractNumId w:val="7"/>
  </w:num>
  <w:num w:numId="11">
    <w:abstractNumId w:val="26"/>
  </w:num>
  <w:num w:numId="12">
    <w:abstractNumId w:val="27"/>
  </w:num>
  <w:num w:numId="13">
    <w:abstractNumId w:val="17"/>
  </w:num>
  <w:num w:numId="14">
    <w:abstractNumId w:val="31"/>
  </w:num>
  <w:num w:numId="15">
    <w:abstractNumId w:val="20"/>
  </w:num>
  <w:num w:numId="16">
    <w:abstractNumId w:val="10"/>
  </w:num>
  <w:num w:numId="17">
    <w:abstractNumId w:val="24"/>
  </w:num>
  <w:num w:numId="18">
    <w:abstractNumId w:val="14"/>
  </w:num>
  <w:num w:numId="19">
    <w:abstractNumId w:val="3"/>
  </w:num>
  <w:num w:numId="20">
    <w:abstractNumId w:val="4"/>
  </w:num>
  <w:num w:numId="21">
    <w:abstractNumId w:val="29"/>
  </w:num>
  <w:num w:numId="22">
    <w:abstractNumId w:val="19"/>
  </w:num>
  <w:num w:numId="23">
    <w:abstractNumId w:val="6"/>
  </w:num>
  <w:num w:numId="24">
    <w:abstractNumId w:val="11"/>
  </w:num>
  <w:num w:numId="25">
    <w:abstractNumId w:val="13"/>
  </w:num>
  <w:num w:numId="26">
    <w:abstractNumId w:val="16"/>
  </w:num>
  <w:num w:numId="27">
    <w:abstractNumId w:val="32"/>
  </w:num>
  <w:num w:numId="28">
    <w:abstractNumId w:val="5"/>
  </w:num>
  <w:num w:numId="29">
    <w:abstractNumId w:val="1"/>
  </w:num>
  <w:num w:numId="30">
    <w:abstractNumId w:val="9"/>
  </w:num>
  <w:num w:numId="31">
    <w:abstractNumId w:val="21"/>
  </w:num>
  <w:num w:numId="32">
    <w:abstractNumId w:val="28"/>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12AD"/>
    <w:rsid w:val="000D1431"/>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35D"/>
    <w:rsid w:val="000F1C6A"/>
    <w:rsid w:val="000F2FFC"/>
    <w:rsid w:val="000F4010"/>
    <w:rsid w:val="000F53E3"/>
    <w:rsid w:val="000F5B2C"/>
    <w:rsid w:val="000F6AE6"/>
    <w:rsid w:val="000F7DC6"/>
    <w:rsid w:val="00100114"/>
    <w:rsid w:val="0010061D"/>
    <w:rsid w:val="001010C3"/>
    <w:rsid w:val="001013B2"/>
    <w:rsid w:val="00102BFC"/>
    <w:rsid w:val="00103CAD"/>
    <w:rsid w:val="0010563C"/>
    <w:rsid w:val="0010723E"/>
    <w:rsid w:val="00107EE1"/>
    <w:rsid w:val="00111E18"/>
    <w:rsid w:val="00111E48"/>
    <w:rsid w:val="00112931"/>
    <w:rsid w:val="001137B7"/>
    <w:rsid w:val="0011439A"/>
    <w:rsid w:val="00114B3D"/>
    <w:rsid w:val="001151E4"/>
    <w:rsid w:val="00115557"/>
    <w:rsid w:val="00115BD7"/>
    <w:rsid w:val="001162C0"/>
    <w:rsid w:val="00116569"/>
    <w:rsid w:val="00117469"/>
    <w:rsid w:val="00117E2E"/>
    <w:rsid w:val="00120042"/>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AF8"/>
    <w:rsid w:val="00140A1B"/>
    <w:rsid w:val="00140B60"/>
    <w:rsid w:val="00141144"/>
    <w:rsid w:val="0014135D"/>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D79"/>
    <w:rsid w:val="00174D25"/>
    <w:rsid w:val="00174DF0"/>
    <w:rsid w:val="00175E9A"/>
    <w:rsid w:val="00176A00"/>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55F"/>
    <w:rsid w:val="001B4AF1"/>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5BF"/>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7A00"/>
    <w:rsid w:val="00247E9E"/>
    <w:rsid w:val="00251BC7"/>
    <w:rsid w:val="00251D0F"/>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51E9"/>
    <w:rsid w:val="002C54F2"/>
    <w:rsid w:val="002C5749"/>
    <w:rsid w:val="002C57C5"/>
    <w:rsid w:val="002C5E50"/>
    <w:rsid w:val="002C6ABA"/>
    <w:rsid w:val="002C70AE"/>
    <w:rsid w:val="002C75CC"/>
    <w:rsid w:val="002C77B8"/>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C5"/>
    <w:rsid w:val="002F7061"/>
    <w:rsid w:val="002F7374"/>
    <w:rsid w:val="002F7AF7"/>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811"/>
    <w:rsid w:val="00304E0F"/>
    <w:rsid w:val="00305081"/>
    <w:rsid w:val="003052BE"/>
    <w:rsid w:val="0030587A"/>
    <w:rsid w:val="003070D1"/>
    <w:rsid w:val="003074F8"/>
    <w:rsid w:val="00307623"/>
    <w:rsid w:val="00307D86"/>
    <w:rsid w:val="003100B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2E9B"/>
    <w:rsid w:val="004436F1"/>
    <w:rsid w:val="004437C1"/>
    <w:rsid w:val="00444018"/>
    <w:rsid w:val="004444EB"/>
    <w:rsid w:val="00444775"/>
    <w:rsid w:val="004455C4"/>
    <w:rsid w:val="004463E6"/>
    <w:rsid w:val="004509A6"/>
    <w:rsid w:val="004518D7"/>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CC0"/>
    <w:rsid w:val="00600752"/>
    <w:rsid w:val="00600920"/>
    <w:rsid w:val="00603181"/>
    <w:rsid w:val="00605CC5"/>
    <w:rsid w:val="00606271"/>
    <w:rsid w:val="00606765"/>
    <w:rsid w:val="006067A7"/>
    <w:rsid w:val="00607877"/>
    <w:rsid w:val="00607AF8"/>
    <w:rsid w:val="00610239"/>
    <w:rsid w:val="006109C1"/>
    <w:rsid w:val="006112D6"/>
    <w:rsid w:val="006117F9"/>
    <w:rsid w:val="00612A08"/>
    <w:rsid w:val="00612ED5"/>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D7D"/>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2912"/>
    <w:rsid w:val="007233C0"/>
    <w:rsid w:val="00723F00"/>
    <w:rsid w:val="00724163"/>
    <w:rsid w:val="007243D2"/>
    <w:rsid w:val="00724779"/>
    <w:rsid w:val="007255E2"/>
    <w:rsid w:val="00725CE3"/>
    <w:rsid w:val="00726B86"/>
    <w:rsid w:val="00726CAF"/>
    <w:rsid w:val="0072715B"/>
    <w:rsid w:val="0072771C"/>
    <w:rsid w:val="0072771D"/>
    <w:rsid w:val="007277BE"/>
    <w:rsid w:val="00730EEF"/>
    <w:rsid w:val="007312BA"/>
    <w:rsid w:val="007325C9"/>
    <w:rsid w:val="007334E4"/>
    <w:rsid w:val="00733DD2"/>
    <w:rsid w:val="00735247"/>
    <w:rsid w:val="007355BB"/>
    <w:rsid w:val="0073579B"/>
    <w:rsid w:val="00735D23"/>
    <w:rsid w:val="00736999"/>
    <w:rsid w:val="00740FCD"/>
    <w:rsid w:val="007418DE"/>
    <w:rsid w:val="0074220A"/>
    <w:rsid w:val="00742F7D"/>
    <w:rsid w:val="00744664"/>
    <w:rsid w:val="00746728"/>
    <w:rsid w:val="007476D1"/>
    <w:rsid w:val="00750728"/>
    <w:rsid w:val="00751F7F"/>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E5F"/>
    <w:rsid w:val="00776F11"/>
    <w:rsid w:val="007773DD"/>
    <w:rsid w:val="0077744A"/>
    <w:rsid w:val="00780B1A"/>
    <w:rsid w:val="00780D11"/>
    <w:rsid w:val="00781600"/>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7098"/>
    <w:rsid w:val="007D7A26"/>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376"/>
    <w:rsid w:val="00812A01"/>
    <w:rsid w:val="00812D61"/>
    <w:rsid w:val="008157CC"/>
    <w:rsid w:val="00815B66"/>
    <w:rsid w:val="00815C8E"/>
    <w:rsid w:val="008163A3"/>
    <w:rsid w:val="00816DB6"/>
    <w:rsid w:val="00817BE8"/>
    <w:rsid w:val="00820166"/>
    <w:rsid w:val="008205C8"/>
    <w:rsid w:val="00820DE2"/>
    <w:rsid w:val="0082106E"/>
    <w:rsid w:val="008228D6"/>
    <w:rsid w:val="00824153"/>
    <w:rsid w:val="0082429D"/>
    <w:rsid w:val="00824CC1"/>
    <w:rsid w:val="0082642C"/>
    <w:rsid w:val="0082651D"/>
    <w:rsid w:val="00826570"/>
    <w:rsid w:val="00826A2E"/>
    <w:rsid w:val="0082755B"/>
    <w:rsid w:val="00827613"/>
    <w:rsid w:val="00827B78"/>
    <w:rsid w:val="00827EEE"/>
    <w:rsid w:val="00830423"/>
    <w:rsid w:val="00831910"/>
    <w:rsid w:val="00831917"/>
    <w:rsid w:val="0083254B"/>
    <w:rsid w:val="00835062"/>
    <w:rsid w:val="00835777"/>
    <w:rsid w:val="00835E3A"/>
    <w:rsid w:val="00836447"/>
    <w:rsid w:val="00836CD3"/>
    <w:rsid w:val="00836E21"/>
    <w:rsid w:val="00840701"/>
    <w:rsid w:val="008414BF"/>
    <w:rsid w:val="00841A00"/>
    <w:rsid w:val="00842370"/>
    <w:rsid w:val="0084386C"/>
    <w:rsid w:val="0084460C"/>
    <w:rsid w:val="0084476B"/>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53E0"/>
    <w:rsid w:val="008965FD"/>
    <w:rsid w:val="00896968"/>
    <w:rsid w:val="00896FF1"/>
    <w:rsid w:val="008A052D"/>
    <w:rsid w:val="008A1E68"/>
    <w:rsid w:val="008A2036"/>
    <w:rsid w:val="008A24B2"/>
    <w:rsid w:val="008A297E"/>
    <w:rsid w:val="008A4361"/>
    <w:rsid w:val="008A6443"/>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16F5"/>
    <w:rsid w:val="009220F4"/>
    <w:rsid w:val="00922980"/>
    <w:rsid w:val="00922A63"/>
    <w:rsid w:val="00923036"/>
    <w:rsid w:val="0092452B"/>
    <w:rsid w:val="00924DF3"/>
    <w:rsid w:val="0092674A"/>
    <w:rsid w:val="009268A2"/>
    <w:rsid w:val="009270AB"/>
    <w:rsid w:val="009275B2"/>
    <w:rsid w:val="00927DD3"/>
    <w:rsid w:val="00927FC3"/>
    <w:rsid w:val="00931449"/>
    <w:rsid w:val="00931575"/>
    <w:rsid w:val="00931EC6"/>
    <w:rsid w:val="00932609"/>
    <w:rsid w:val="009329C6"/>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C1B"/>
    <w:rsid w:val="00972F97"/>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19A2"/>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E26"/>
    <w:rsid w:val="00A45384"/>
    <w:rsid w:val="00A45F8B"/>
    <w:rsid w:val="00A45FF7"/>
    <w:rsid w:val="00A5068C"/>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41F"/>
    <w:rsid w:val="00AD7016"/>
    <w:rsid w:val="00AD78F8"/>
    <w:rsid w:val="00AD7964"/>
    <w:rsid w:val="00AD7C1F"/>
    <w:rsid w:val="00AE083F"/>
    <w:rsid w:val="00AE0CCC"/>
    <w:rsid w:val="00AE18C3"/>
    <w:rsid w:val="00AE1AE5"/>
    <w:rsid w:val="00AE1C64"/>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7BF9"/>
    <w:rsid w:val="00C60809"/>
    <w:rsid w:val="00C610AA"/>
    <w:rsid w:val="00C6187A"/>
    <w:rsid w:val="00C618C1"/>
    <w:rsid w:val="00C61B5C"/>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36D7"/>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235F"/>
    <w:rsid w:val="00D42BB8"/>
    <w:rsid w:val="00D42BE2"/>
    <w:rsid w:val="00D42EC6"/>
    <w:rsid w:val="00D43A71"/>
    <w:rsid w:val="00D441CC"/>
    <w:rsid w:val="00D44E23"/>
    <w:rsid w:val="00D45D1F"/>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409"/>
    <w:rsid w:val="00D82DDD"/>
    <w:rsid w:val="00D8354D"/>
    <w:rsid w:val="00D83877"/>
    <w:rsid w:val="00D83CBA"/>
    <w:rsid w:val="00D84F61"/>
    <w:rsid w:val="00D8542A"/>
    <w:rsid w:val="00D866C4"/>
    <w:rsid w:val="00D8744B"/>
    <w:rsid w:val="00D90911"/>
    <w:rsid w:val="00D91A0C"/>
    <w:rsid w:val="00D91B34"/>
    <w:rsid w:val="00D92AF7"/>
    <w:rsid w:val="00D92FDA"/>
    <w:rsid w:val="00D9309B"/>
    <w:rsid w:val="00D94824"/>
    <w:rsid w:val="00D9505D"/>
    <w:rsid w:val="00D954E8"/>
    <w:rsid w:val="00D95502"/>
    <w:rsid w:val="00D971BB"/>
    <w:rsid w:val="00D97F11"/>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FC7"/>
    <w:rsid w:val="00DD416D"/>
    <w:rsid w:val="00DD42AB"/>
    <w:rsid w:val="00DD4550"/>
    <w:rsid w:val="00DD4997"/>
    <w:rsid w:val="00DD4B4A"/>
    <w:rsid w:val="00DD4C84"/>
    <w:rsid w:val="00DD4E74"/>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7125"/>
    <w:rsid w:val="00E3019B"/>
    <w:rsid w:val="00E317BE"/>
    <w:rsid w:val="00E31E0A"/>
    <w:rsid w:val="00E32879"/>
    <w:rsid w:val="00E3299A"/>
    <w:rsid w:val="00E33023"/>
    <w:rsid w:val="00E3314D"/>
    <w:rsid w:val="00E346ED"/>
    <w:rsid w:val="00E35068"/>
    <w:rsid w:val="00E35FB3"/>
    <w:rsid w:val="00E361CF"/>
    <w:rsid w:val="00E36B50"/>
    <w:rsid w:val="00E37366"/>
    <w:rsid w:val="00E3789B"/>
    <w:rsid w:val="00E37E23"/>
    <w:rsid w:val="00E409A2"/>
    <w:rsid w:val="00E419FD"/>
    <w:rsid w:val="00E41E54"/>
    <w:rsid w:val="00E41F6D"/>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225A"/>
    <w:rsid w:val="00E8386B"/>
    <w:rsid w:val="00E83DF3"/>
    <w:rsid w:val="00E84471"/>
    <w:rsid w:val="00E84AD8"/>
    <w:rsid w:val="00E85461"/>
    <w:rsid w:val="00E86AE4"/>
    <w:rsid w:val="00E873F4"/>
    <w:rsid w:val="00E92F05"/>
    <w:rsid w:val="00E931E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B77"/>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66ED"/>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5349"/>
    <w:rsid w:val="00FC57E1"/>
    <w:rsid w:val="00FC6015"/>
    <w:rsid w:val="00FC6F87"/>
    <w:rsid w:val="00FD064C"/>
    <w:rsid w:val="00FD1896"/>
    <w:rsid w:val="00FD4168"/>
    <w:rsid w:val="00FD4263"/>
    <w:rsid w:val="00FD46F1"/>
    <w:rsid w:val="00FD4A44"/>
    <w:rsid w:val="00FD563C"/>
    <w:rsid w:val="00FD5FFE"/>
    <w:rsid w:val="00FD6D39"/>
    <w:rsid w:val="00FE0390"/>
    <w:rsid w:val="00FE1737"/>
    <w:rsid w:val="00FE2C44"/>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ningspa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CA2F-B49C-4C94-B133-367B0F4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5464</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Molly Bennett</cp:lastModifiedBy>
  <cp:revision>3</cp:revision>
  <cp:lastPrinted>2021-04-28T14:53:00Z</cp:lastPrinted>
  <dcterms:created xsi:type="dcterms:W3CDTF">2022-01-20T18:05:00Z</dcterms:created>
  <dcterms:modified xsi:type="dcterms:W3CDTF">2022-01-20T18:06:00Z</dcterms:modified>
</cp:coreProperties>
</file>