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1684869" w14:textId="77777777" w:rsidR="002E29B9" w:rsidRPr="005E71B0" w:rsidRDefault="002E29B9" w:rsidP="008F1BDA">
      <w:pPr>
        <w:tabs>
          <w:tab w:val="left" w:pos="540"/>
          <w:tab w:val="left" w:pos="2550"/>
        </w:tabs>
        <w:spacing w:line="276" w:lineRule="auto"/>
        <w:rPr>
          <w:rStyle w:val="ICBAbold"/>
          <w:rFonts w:asciiTheme="minorHAnsi" w:eastAsiaTheme="minorHAnsi" w:hAnsiTheme="minorHAnsi" w:cstheme="minorBidi"/>
          <w:kern w:val="2"/>
          <w14:ligatures w14:val="standardContextual"/>
        </w:rPr>
      </w:pPr>
      <w:r w:rsidRPr="005E71B0">
        <w:rPr>
          <w:rStyle w:val="ICBAbold"/>
        </w:rPr>
        <w:t>Independent Banker</w:t>
      </w:r>
    </w:p>
    <w:p w14:paraId="08AEA3EA" w14:textId="5194FBEF" w:rsidR="002E29B9" w:rsidRPr="005E71B0" w:rsidRDefault="00C52ED5" w:rsidP="008F1BDA">
      <w:pPr>
        <w:tabs>
          <w:tab w:val="left" w:pos="540"/>
          <w:tab w:val="left" w:pos="2550"/>
        </w:tabs>
        <w:spacing w:line="276" w:lineRule="auto"/>
        <w:rPr>
          <w:rStyle w:val="ICBAbold"/>
        </w:rPr>
      </w:pPr>
      <w:r>
        <w:rPr>
          <w:rStyle w:val="ICBAbold"/>
        </w:rPr>
        <w:t>February 2025</w:t>
      </w:r>
    </w:p>
    <w:p w14:paraId="2ED2EB3A" w14:textId="77777777" w:rsidR="002E29B9" w:rsidRPr="005E71B0" w:rsidRDefault="002E29B9" w:rsidP="002E29B9">
      <w:pPr>
        <w:tabs>
          <w:tab w:val="left" w:pos="540"/>
          <w:tab w:val="left" w:pos="2550"/>
        </w:tabs>
        <w:spacing w:after="240" w:line="276" w:lineRule="auto"/>
        <w:rPr>
          <w:rStyle w:val="ICBAbold"/>
          <w:bCs/>
        </w:rPr>
      </w:pPr>
      <w:r w:rsidRPr="005E71B0">
        <w:rPr>
          <w:rStyle w:val="ICBAbold"/>
          <w:bCs/>
        </w:rPr>
        <w:t xml:space="preserve">Portfolio </w:t>
      </w:r>
    </w:p>
    <w:p w14:paraId="6C96D1C8" w14:textId="1A457598" w:rsidR="002E29B9" w:rsidRPr="005E71B0" w:rsidRDefault="002E29B9" w:rsidP="002E29B9">
      <w:pPr>
        <w:tabs>
          <w:tab w:val="left" w:pos="540"/>
          <w:tab w:val="left" w:pos="2550"/>
        </w:tabs>
        <w:spacing w:after="240" w:line="276" w:lineRule="auto"/>
        <w:rPr>
          <w:rStyle w:val="ICBAbold"/>
          <w:bCs/>
        </w:rPr>
      </w:pPr>
      <w:r w:rsidRPr="005E71B0">
        <w:rPr>
          <w:rStyle w:val="ICBAbold"/>
          <w:color w:val="FF0000"/>
        </w:rPr>
        <w:t xml:space="preserve">[tag] </w:t>
      </w:r>
      <w:r w:rsidR="005B34F6">
        <w:rPr>
          <w:rStyle w:val="ICBAbold"/>
          <w:bCs/>
        </w:rPr>
        <w:t>Portfolio Management</w:t>
      </w:r>
    </w:p>
    <w:p w14:paraId="70FACAF5" w14:textId="312C6CE5" w:rsidR="002E29B9" w:rsidRPr="005E71B0" w:rsidRDefault="002E29B9" w:rsidP="002E29B9">
      <w:pPr>
        <w:tabs>
          <w:tab w:val="left" w:pos="540"/>
        </w:tabs>
        <w:spacing w:after="240" w:line="276" w:lineRule="auto"/>
        <w:rPr>
          <w:b/>
        </w:rPr>
      </w:pPr>
      <w:r w:rsidRPr="005E71B0">
        <w:rPr>
          <w:rStyle w:val="ICBAbold"/>
          <w:color w:val="FF0000"/>
        </w:rPr>
        <w:t>[</w:t>
      </w:r>
      <w:proofErr w:type="spellStart"/>
      <w:r w:rsidRPr="005E71B0">
        <w:rPr>
          <w:rStyle w:val="ICBAbold"/>
          <w:color w:val="FF0000"/>
        </w:rPr>
        <w:t>hed</w:t>
      </w:r>
      <w:proofErr w:type="spellEnd"/>
      <w:r w:rsidRPr="005E71B0">
        <w:rPr>
          <w:rStyle w:val="ICBAbold"/>
          <w:color w:val="FF0000"/>
        </w:rPr>
        <w:t xml:space="preserve">] </w:t>
      </w:r>
      <w:r w:rsidR="0004579B">
        <w:rPr>
          <w:b/>
        </w:rPr>
        <w:t>Spreading the good news</w:t>
      </w:r>
    </w:p>
    <w:p w14:paraId="60490905" w14:textId="521A41A3" w:rsidR="002E29B9" w:rsidRPr="005E71B0" w:rsidRDefault="002E29B9" w:rsidP="002E29B9">
      <w:pPr>
        <w:tabs>
          <w:tab w:val="left" w:pos="540"/>
        </w:tabs>
        <w:spacing w:after="240" w:line="276" w:lineRule="auto"/>
      </w:pPr>
      <w:r w:rsidRPr="005E71B0">
        <w:rPr>
          <w:rStyle w:val="ICBAbold"/>
          <w:color w:val="FF0000"/>
        </w:rPr>
        <w:t>[</w:t>
      </w:r>
      <w:proofErr w:type="spellStart"/>
      <w:r w:rsidRPr="005E71B0">
        <w:rPr>
          <w:rStyle w:val="ICBAbold"/>
          <w:color w:val="FF0000"/>
        </w:rPr>
        <w:t>dek</w:t>
      </w:r>
      <w:proofErr w:type="spellEnd"/>
      <w:r w:rsidRPr="005E71B0">
        <w:rPr>
          <w:rStyle w:val="ICBAbold"/>
          <w:color w:val="FF0000"/>
        </w:rPr>
        <w:t xml:space="preserve">] </w:t>
      </w:r>
      <w:r w:rsidR="0004579B">
        <w:t>Incremental yield can indicate relative value</w:t>
      </w:r>
      <w:r w:rsidR="00A028A0">
        <w:t>.</w:t>
      </w:r>
    </w:p>
    <w:p w14:paraId="6CEBF3EF" w14:textId="77777777" w:rsidR="002E29B9" w:rsidRPr="005E71B0" w:rsidRDefault="002E29B9" w:rsidP="002E29B9">
      <w:pPr>
        <w:tabs>
          <w:tab w:val="left" w:pos="540"/>
        </w:tabs>
        <w:spacing w:after="240" w:line="276" w:lineRule="auto"/>
        <w:rPr>
          <w:rStyle w:val="ICBAbold"/>
        </w:rPr>
      </w:pPr>
      <w:r w:rsidRPr="005E71B0">
        <w:rPr>
          <w:rStyle w:val="ICBAbold"/>
          <w:color w:val="FF0000"/>
        </w:rPr>
        <w:t xml:space="preserve">[byline] </w:t>
      </w:r>
      <w:r w:rsidRPr="005E71B0">
        <w:rPr>
          <w:rStyle w:val="ICBAbold"/>
        </w:rPr>
        <w:t>By Jim Reber, ICBA Securities</w:t>
      </w:r>
    </w:p>
    <w:p w14:paraId="1E451414" w14:textId="75B9DD41" w:rsidR="001E770A" w:rsidRDefault="001E770A" w:rsidP="008F1BDA">
      <w:pPr>
        <w:tabs>
          <w:tab w:val="left" w:pos="540"/>
        </w:tabs>
        <w:spacing w:after="240" w:line="276" w:lineRule="auto"/>
        <w:rPr>
          <w:rStyle w:val="ICBAbold"/>
          <w:b w:val="0"/>
          <w:bCs/>
        </w:rPr>
      </w:pPr>
      <w:r>
        <w:rPr>
          <w:rStyle w:val="ICBAbold"/>
          <w:b w:val="0"/>
          <w:bCs/>
        </w:rPr>
        <w:t>[body]</w:t>
      </w:r>
    </w:p>
    <w:p w14:paraId="25194824" w14:textId="6B9F2F6B" w:rsidR="00B92DFB" w:rsidRDefault="00F1705B" w:rsidP="00A733A9">
      <w:pPr>
        <w:tabs>
          <w:tab w:val="left" w:pos="540"/>
        </w:tabs>
        <w:spacing w:after="240" w:line="360" w:lineRule="auto"/>
        <w:rPr>
          <w:rStyle w:val="ICBAbold"/>
          <w:b w:val="0"/>
          <w:bCs/>
        </w:rPr>
      </w:pPr>
      <w:r>
        <w:rPr>
          <w:rStyle w:val="ICBAbold"/>
          <w:b w:val="0"/>
          <w:bCs/>
        </w:rPr>
        <w:t xml:space="preserve">What does “spread” mean to you? In Las Vegas, it’s an indication of </w:t>
      </w:r>
      <w:r w:rsidR="00C845F6">
        <w:rPr>
          <w:rStyle w:val="ICBAbold"/>
          <w:b w:val="0"/>
          <w:bCs/>
        </w:rPr>
        <w:t xml:space="preserve">by </w:t>
      </w:r>
      <w:r>
        <w:rPr>
          <w:rStyle w:val="ICBAbold"/>
          <w:b w:val="0"/>
          <w:bCs/>
        </w:rPr>
        <w:t xml:space="preserve">how many points a sports team is favored to win. For foodies, it could be </w:t>
      </w:r>
      <w:r w:rsidR="00CA4242">
        <w:rPr>
          <w:rStyle w:val="ICBAbold"/>
          <w:b w:val="0"/>
          <w:bCs/>
        </w:rPr>
        <w:t>a tasty schmear</w:t>
      </w:r>
      <w:r>
        <w:rPr>
          <w:rStyle w:val="ICBAbold"/>
          <w:b w:val="0"/>
          <w:bCs/>
        </w:rPr>
        <w:t xml:space="preserve"> across a Ritz cracker. </w:t>
      </w:r>
      <w:r w:rsidR="00E50662">
        <w:rPr>
          <w:rStyle w:val="ICBAbold"/>
          <w:b w:val="0"/>
          <w:bCs/>
        </w:rPr>
        <w:t>Sticking with the food theme, it’s sometimes an obtuse reference to one’s midsection</w:t>
      </w:r>
      <w:r w:rsidR="00FE7428">
        <w:rPr>
          <w:rStyle w:val="ICBAbold"/>
          <w:b w:val="0"/>
          <w:bCs/>
        </w:rPr>
        <w:t>, especially post-holidays</w:t>
      </w:r>
      <w:r w:rsidR="00E50662">
        <w:rPr>
          <w:rStyle w:val="ICBAbold"/>
          <w:b w:val="0"/>
          <w:bCs/>
        </w:rPr>
        <w:t xml:space="preserve">. </w:t>
      </w:r>
      <w:r w:rsidR="00360FA1">
        <w:rPr>
          <w:rStyle w:val="ICBAbold"/>
          <w:b w:val="0"/>
          <w:bCs/>
        </w:rPr>
        <w:t xml:space="preserve">As a verb, it indicates a dispersion over an increasingly wide area (think: viral). </w:t>
      </w:r>
      <w:r w:rsidR="00FE7428">
        <w:rPr>
          <w:rStyle w:val="ICBAbold"/>
          <w:b w:val="0"/>
          <w:bCs/>
        </w:rPr>
        <w:t>And i</w:t>
      </w:r>
      <w:r w:rsidR="00360FA1">
        <w:rPr>
          <w:rStyle w:val="ICBAbold"/>
          <w:b w:val="0"/>
          <w:bCs/>
        </w:rPr>
        <w:t xml:space="preserve">n fixed-income investing, it means the additional yield over and above that of a risk-free instrument of the same duration. </w:t>
      </w:r>
    </w:p>
    <w:p w14:paraId="13FA0F75" w14:textId="0EFC289A" w:rsidR="00360FA1" w:rsidRDefault="00360FA1" w:rsidP="00A733A9">
      <w:pPr>
        <w:tabs>
          <w:tab w:val="left" w:pos="540"/>
        </w:tabs>
        <w:spacing w:after="240" w:line="360" w:lineRule="auto"/>
        <w:rPr>
          <w:rStyle w:val="ICBAbold"/>
          <w:b w:val="0"/>
          <w:bCs/>
        </w:rPr>
      </w:pPr>
      <w:r>
        <w:rPr>
          <w:rStyle w:val="ICBAbold"/>
          <w:b w:val="0"/>
          <w:bCs/>
        </w:rPr>
        <w:t xml:space="preserve">For community bank portfolio managers, yield spread is one of the most important indicators of value. The good news is that there are mountains of documentation regarding historical spreads for virtually any bond sector that </w:t>
      </w:r>
      <w:r w:rsidR="00A028A0">
        <w:rPr>
          <w:rStyle w:val="ICBAbold"/>
          <w:b w:val="0"/>
          <w:bCs/>
        </w:rPr>
        <w:t xml:space="preserve">is </w:t>
      </w:r>
      <w:r>
        <w:rPr>
          <w:rStyle w:val="ICBAbold"/>
          <w:b w:val="0"/>
          <w:bCs/>
        </w:rPr>
        <w:t xml:space="preserve">suitable for community banks, as well as for current offerings. This column will look back </w:t>
      </w:r>
      <w:r w:rsidR="00A028A0">
        <w:rPr>
          <w:rStyle w:val="ICBAbold"/>
          <w:b w:val="0"/>
          <w:bCs/>
        </w:rPr>
        <w:t xml:space="preserve">at </w:t>
      </w:r>
      <w:r>
        <w:rPr>
          <w:rStyle w:val="ICBAbold"/>
          <w:b w:val="0"/>
          <w:bCs/>
        </w:rPr>
        <w:t xml:space="preserve">several </w:t>
      </w:r>
      <w:r w:rsidR="00FE7428">
        <w:rPr>
          <w:rStyle w:val="ICBAbold"/>
          <w:b w:val="0"/>
          <w:bCs/>
        </w:rPr>
        <w:t>months</w:t>
      </w:r>
      <w:r w:rsidR="00A028A0">
        <w:rPr>
          <w:rStyle w:val="ICBAbold"/>
          <w:b w:val="0"/>
          <w:bCs/>
        </w:rPr>
        <w:t>,</w:t>
      </w:r>
      <w:r>
        <w:rPr>
          <w:rStyle w:val="ICBAbold"/>
          <w:b w:val="0"/>
          <w:bCs/>
        </w:rPr>
        <w:t xml:space="preserve"> which take us through </w:t>
      </w:r>
      <w:r w:rsidR="00FE7428">
        <w:rPr>
          <w:rStyle w:val="ICBAbold"/>
          <w:b w:val="0"/>
          <w:bCs/>
        </w:rPr>
        <w:t>some</w:t>
      </w:r>
      <w:r>
        <w:rPr>
          <w:rStyle w:val="ICBAbold"/>
          <w:b w:val="0"/>
          <w:bCs/>
        </w:rPr>
        <w:t xml:space="preserve"> swings in market rates, to arrive at suggestions about what holds relative value as we get going </w:t>
      </w:r>
      <w:r w:rsidR="00F37A46">
        <w:rPr>
          <w:rStyle w:val="ICBAbold"/>
          <w:b w:val="0"/>
          <w:bCs/>
        </w:rPr>
        <w:t>i</w:t>
      </w:r>
      <w:r>
        <w:rPr>
          <w:rStyle w:val="ICBAbold"/>
          <w:b w:val="0"/>
          <w:bCs/>
        </w:rPr>
        <w:t xml:space="preserve">n 2025. </w:t>
      </w:r>
    </w:p>
    <w:p w14:paraId="039E659A" w14:textId="77777777" w:rsidR="00B92DFB" w:rsidRDefault="00B92DFB" w:rsidP="00A733A9">
      <w:pPr>
        <w:tabs>
          <w:tab w:val="left" w:pos="540"/>
        </w:tabs>
        <w:spacing w:after="240" w:line="360" w:lineRule="auto"/>
        <w:rPr>
          <w:rStyle w:val="ICBAbold"/>
          <w:b w:val="0"/>
          <w:bCs/>
        </w:rPr>
      </w:pPr>
    </w:p>
    <w:p w14:paraId="2553B755" w14:textId="60B19B0A" w:rsidR="002A543C" w:rsidRDefault="001E770A" w:rsidP="00A733A9">
      <w:pPr>
        <w:tabs>
          <w:tab w:val="left" w:pos="2550"/>
        </w:tabs>
        <w:spacing w:after="240" w:line="360" w:lineRule="auto"/>
        <w:rPr>
          <w:b/>
        </w:rPr>
      </w:pPr>
      <w:r>
        <w:rPr>
          <w:b/>
        </w:rPr>
        <w:t>[</w:t>
      </w:r>
      <w:proofErr w:type="spellStart"/>
      <w:r>
        <w:rPr>
          <w:b/>
        </w:rPr>
        <w:t>subhed</w:t>
      </w:r>
      <w:proofErr w:type="spellEnd"/>
      <w:r>
        <w:rPr>
          <w:b/>
        </w:rPr>
        <w:t xml:space="preserve">] </w:t>
      </w:r>
      <w:r w:rsidR="00FE7428">
        <w:rPr>
          <w:b/>
        </w:rPr>
        <w:t>Recent past</w:t>
      </w:r>
    </w:p>
    <w:p w14:paraId="5DC3E90D" w14:textId="5B12B6CB" w:rsidR="001E770A" w:rsidRDefault="00FE7428" w:rsidP="00A733A9">
      <w:pPr>
        <w:shd w:val="clear" w:color="auto" w:fill="FFFFFF"/>
        <w:spacing w:before="100" w:beforeAutospacing="1" w:after="240" w:line="360" w:lineRule="auto"/>
        <w:rPr>
          <w:color w:val="111111"/>
          <w:spacing w:val="1"/>
        </w:rPr>
      </w:pPr>
      <w:r>
        <w:rPr>
          <w:color w:val="111111"/>
          <w:spacing w:val="1"/>
        </w:rPr>
        <w:t xml:space="preserve">If we can travel back to the third quarter of 2024, here’s </w:t>
      </w:r>
      <w:r w:rsidR="00C845F6">
        <w:rPr>
          <w:color w:val="111111"/>
          <w:spacing w:val="1"/>
        </w:rPr>
        <w:t xml:space="preserve">how </w:t>
      </w:r>
      <w:r>
        <w:rPr>
          <w:color w:val="111111"/>
          <w:spacing w:val="1"/>
        </w:rPr>
        <w:t xml:space="preserve">the bond market </w:t>
      </w:r>
      <w:r w:rsidR="00C845F6">
        <w:rPr>
          <w:color w:val="111111"/>
          <w:spacing w:val="1"/>
        </w:rPr>
        <w:t>was situated</w:t>
      </w:r>
      <w:r>
        <w:rPr>
          <w:color w:val="111111"/>
          <w:spacing w:val="1"/>
        </w:rPr>
        <w:t xml:space="preserve">. </w:t>
      </w:r>
      <w:r w:rsidR="00574897">
        <w:rPr>
          <w:color w:val="111111"/>
          <w:spacing w:val="1"/>
        </w:rPr>
        <w:t xml:space="preserve">The </w:t>
      </w:r>
      <w:r w:rsidR="00A028A0">
        <w:rPr>
          <w:color w:val="111111"/>
          <w:spacing w:val="1"/>
        </w:rPr>
        <w:t>Federal Open Market Committee</w:t>
      </w:r>
      <w:r w:rsidR="00574897">
        <w:rPr>
          <w:color w:val="111111"/>
          <w:spacing w:val="1"/>
        </w:rPr>
        <w:t xml:space="preserve"> met on Sept</w:t>
      </w:r>
      <w:r w:rsidR="00A028A0">
        <w:rPr>
          <w:color w:val="111111"/>
          <w:spacing w:val="1"/>
        </w:rPr>
        <w:t>.</w:t>
      </w:r>
      <w:r w:rsidR="00574897">
        <w:rPr>
          <w:color w:val="111111"/>
          <w:spacing w:val="1"/>
        </w:rPr>
        <w:t>17</w:t>
      </w:r>
      <w:r w:rsidR="00A028A0">
        <w:rPr>
          <w:color w:val="111111"/>
          <w:spacing w:val="1"/>
        </w:rPr>
        <w:t xml:space="preserve"> and </w:t>
      </w:r>
      <w:r w:rsidR="00574897">
        <w:rPr>
          <w:color w:val="111111"/>
          <w:spacing w:val="1"/>
        </w:rPr>
        <w:t>18 and pulled the trigger on a 50-basis point (0.50%) rate cut, the first since the opening days of the COVID pandemic in 2020. Since the Fed had clearly telegraphed its intentions using forward guidance, the bond market barely moved on announcement day. However, within two weeks</w:t>
      </w:r>
      <w:r w:rsidR="00A028A0">
        <w:rPr>
          <w:color w:val="111111"/>
          <w:spacing w:val="1"/>
        </w:rPr>
        <w:t>,</w:t>
      </w:r>
      <w:r w:rsidR="00574897">
        <w:rPr>
          <w:color w:val="111111"/>
          <w:spacing w:val="1"/>
        </w:rPr>
        <w:t xml:space="preserve"> there began a steady barrage of </w:t>
      </w:r>
      <w:r w:rsidR="00574897">
        <w:rPr>
          <w:color w:val="111111"/>
          <w:spacing w:val="1"/>
        </w:rPr>
        <w:lastRenderedPageBreak/>
        <w:t xml:space="preserve">better-than-expected economic releases, including a blowout non-farm payroll number on Oct. 4. </w:t>
      </w:r>
    </w:p>
    <w:p w14:paraId="7CBF953E" w14:textId="4431382D" w:rsidR="00574897" w:rsidRDefault="00574897" w:rsidP="00A733A9">
      <w:pPr>
        <w:shd w:val="clear" w:color="auto" w:fill="FFFFFF"/>
        <w:spacing w:before="100" w:beforeAutospacing="1" w:after="240" w:line="360" w:lineRule="auto"/>
        <w:rPr>
          <w:color w:val="111111"/>
          <w:spacing w:val="1"/>
        </w:rPr>
      </w:pPr>
      <w:r>
        <w:rPr>
          <w:color w:val="111111"/>
          <w:spacing w:val="1"/>
        </w:rPr>
        <w:t>Treasury rates</w:t>
      </w:r>
      <w:r w:rsidR="0087246F">
        <w:rPr>
          <w:color w:val="111111"/>
          <w:spacing w:val="1"/>
        </w:rPr>
        <w:t xml:space="preserve"> then</w:t>
      </w:r>
      <w:r>
        <w:rPr>
          <w:color w:val="111111"/>
          <w:spacing w:val="1"/>
        </w:rPr>
        <w:t xml:space="preserve"> began a steady climb, and even though the Fed pushed through another </w:t>
      </w:r>
      <w:r w:rsidRPr="00F054E5">
        <w:rPr>
          <w:color w:val="FF0000"/>
          <w:spacing w:val="1"/>
        </w:rPr>
        <w:t>50</w:t>
      </w:r>
      <w:r>
        <w:rPr>
          <w:color w:val="111111"/>
          <w:spacing w:val="1"/>
        </w:rPr>
        <w:t xml:space="preserve"> basis points in rate cuts by the end of </w:t>
      </w:r>
      <w:r w:rsidR="00A028A0">
        <w:rPr>
          <w:color w:val="111111"/>
          <w:spacing w:val="1"/>
        </w:rPr>
        <w:t>2024</w:t>
      </w:r>
      <w:r>
        <w:rPr>
          <w:color w:val="111111"/>
          <w:spacing w:val="1"/>
        </w:rPr>
        <w:t xml:space="preserve">, </w:t>
      </w:r>
      <w:r w:rsidR="00F74221">
        <w:rPr>
          <w:color w:val="111111"/>
          <w:spacing w:val="1"/>
        </w:rPr>
        <w:t>rates remained closer to where they were in June</w:t>
      </w:r>
      <w:r w:rsidR="00A028A0">
        <w:rPr>
          <w:color w:val="111111"/>
          <w:spacing w:val="1"/>
        </w:rPr>
        <w:t xml:space="preserve"> and </w:t>
      </w:r>
      <w:r w:rsidR="00F74221">
        <w:rPr>
          <w:color w:val="111111"/>
          <w:spacing w:val="1"/>
        </w:rPr>
        <w:t>July than in September</w:t>
      </w:r>
      <w:r w:rsidR="00A028A0">
        <w:rPr>
          <w:color w:val="111111"/>
          <w:spacing w:val="1"/>
        </w:rPr>
        <w:t>,</w:t>
      </w:r>
      <w:r w:rsidR="00F74221">
        <w:rPr>
          <w:color w:val="111111"/>
          <w:spacing w:val="1"/>
        </w:rPr>
        <w:t xml:space="preserve"> as expectations for aggressive Fed action in 2025 </w:t>
      </w:r>
      <w:r w:rsidR="00C845F6">
        <w:rPr>
          <w:color w:val="111111"/>
          <w:spacing w:val="1"/>
        </w:rPr>
        <w:t>eroded</w:t>
      </w:r>
      <w:r w:rsidR="00F74221">
        <w:rPr>
          <w:color w:val="111111"/>
          <w:spacing w:val="1"/>
        </w:rPr>
        <w:t xml:space="preserve">. Why this matters to community banks is that </w:t>
      </w:r>
      <w:r w:rsidR="00A028A0">
        <w:rPr>
          <w:color w:val="111111"/>
          <w:spacing w:val="1"/>
        </w:rPr>
        <w:t xml:space="preserve">often, </w:t>
      </w:r>
      <w:r w:rsidR="00F74221">
        <w:rPr>
          <w:color w:val="111111"/>
          <w:spacing w:val="1"/>
        </w:rPr>
        <w:t>yield spreads run in the opposite direction of Treasury rates. Did this happen late last year?</w:t>
      </w:r>
    </w:p>
    <w:p w14:paraId="4553FBC1" w14:textId="77777777" w:rsidR="0087246F" w:rsidRDefault="0087246F" w:rsidP="00A733A9">
      <w:pPr>
        <w:shd w:val="clear" w:color="auto" w:fill="FFFFFF"/>
        <w:spacing w:before="100" w:beforeAutospacing="1" w:after="240" w:line="360" w:lineRule="auto"/>
        <w:rPr>
          <w:color w:val="111111"/>
          <w:spacing w:val="1"/>
        </w:rPr>
      </w:pPr>
    </w:p>
    <w:p w14:paraId="29501B33" w14:textId="535BF14E" w:rsidR="00F3654A" w:rsidRDefault="001E770A" w:rsidP="00A733A9">
      <w:pPr>
        <w:shd w:val="clear" w:color="auto" w:fill="FFFFFF"/>
        <w:spacing w:before="100" w:beforeAutospacing="1" w:after="240" w:line="360" w:lineRule="auto"/>
        <w:rPr>
          <w:b/>
          <w:bCs/>
          <w:color w:val="111111"/>
          <w:spacing w:val="1"/>
        </w:rPr>
      </w:pPr>
      <w:r>
        <w:rPr>
          <w:b/>
          <w:bCs/>
          <w:color w:val="111111"/>
          <w:spacing w:val="1"/>
        </w:rPr>
        <w:t>[</w:t>
      </w:r>
      <w:proofErr w:type="spellStart"/>
      <w:r>
        <w:rPr>
          <w:b/>
          <w:bCs/>
          <w:color w:val="111111"/>
          <w:spacing w:val="1"/>
        </w:rPr>
        <w:t>subhed</w:t>
      </w:r>
      <w:proofErr w:type="spellEnd"/>
      <w:r>
        <w:rPr>
          <w:b/>
          <w:bCs/>
          <w:color w:val="111111"/>
          <w:spacing w:val="1"/>
        </w:rPr>
        <w:t xml:space="preserve">] </w:t>
      </w:r>
      <w:proofErr w:type="gramStart"/>
      <w:r w:rsidR="00680C96">
        <w:rPr>
          <w:b/>
          <w:bCs/>
          <w:color w:val="111111"/>
          <w:spacing w:val="1"/>
        </w:rPr>
        <w:t>The</w:t>
      </w:r>
      <w:proofErr w:type="gramEnd"/>
      <w:r w:rsidR="00680C96">
        <w:rPr>
          <w:b/>
          <w:bCs/>
          <w:color w:val="111111"/>
          <w:spacing w:val="1"/>
        </w:rPr>
        <w:t xml:space="preserve"> big three sectors</w:t>
      </w:r>
    </w:p>
    <w:p w14:paraId="7E3001EE" w14:textId="026062D8" w:rsidR="00AD481C" w:rsidRDefault="0006565B" w:rsidP="00A733A9">
      <w:pPr>
        <w:shd w:val="clear" w:color="auto" w:fill="FFFFFF"/>
        <w:spacing w:before="100" w:beforeAutospacing="1" w:after="240" w:line="360" w:lineRule="auto"/>
        <w:rPr>
          <w:color w:val="111111"/>
          <w:spacing w:val="1"/>
        </w:rPr>
      </w:pPr>
      <w:r>
        <w:rPr>
          <w:color w:val="111111"/>
          <w:spacing w:val="1"/>
        </w:rPr>
        <w:t>We’ll examine the spread action on three separate bond</w:t>
      </w:r>
      <w:r w:rsidR="003B7A54">
        <w:rPr>
          <w:color w:val="111111"/>
          <w:spacing w:val="1"/>
        </w:rPr>
        <w:t xml:space="preserve"> types</w:t>
      </w:r>
      <w:r>
        <w:rPr>
          <w:color w:val="111111"/>
          <w:spacing w:val="1"/>
        </w:rPr>
        <w:t xml:space="preserve"> that are popular with community bankers</w:t>
      </w:r>
      <w:r w:rsidR="00431394">
        <w:rPr>
          <w:color w:val="111111"/>
          <w:spacing w:val="1"/>
        </w:rPr>
        <w:t>: callable agencies, mortgage-backed securities (MBS) and tax-free municipal bonds. Collectively</w:t>
      </w:r>
      <w:r w:rsidR="00A028A0">
        <w:rPr>
          <w:color w:val="111111"/>
          <w:spacing w:val="1"/>
        </w:rPr>
        <w:t>,</w:t>
      </w:r>
      <w:r w:rsidR="00431394">
        <w:rPr>
          <w:color w:val="111111"/>
          <w:spacing w:val="1"/>
        </w:rPr>
        <w:t xml:space="preserve"> they comprise </w:t>
      </w:r>
      <w:r w:rsidR="00A028A0">
        <w:rPr>
          <w:color w:val="111111"/>
          <w:spacing w:val="1"/>
        </w:rPr>
        <w:t xml:space="preserve">about </w:t>
      </w:r>
      <w:r w:rsidR="003B7A54">
        <w:rPr>
          <w:color w:val="111111"/>
          <w:spacing w:val="1"/>
        </w:rPr>
        <w:t>60</w:t>
      </w:r>
      <w:r w:rsidR="00431394">
        <w:rPr>
          <w:color w:val="111111"/>
          <w:spacing w:val="1"/>
        </w:rPr>
        <w:t xml:space="preserve">% of bank </w:t>
      </w:r>
      <w:r w:rsidR="007F1634">
        <w:rPr>
          <w:color w:val="111111"/>
          <w:spacing w:val="1"/>
        </w:rPr>
        <w:t>portfolios and</w:t>
      </w:r>
      <w:r w:rsidR="00431394">
        <w:rPr>
          <w:color w:val="111111"/>
          <w:spacing w:val="1"/>
        </w:rPr>
        <w:t xml:space="preserve"> have done so for many years. The reasons for their appeal are obvious: plenty of market depth, high degrees of liquidity and price discovery, and </w:t>
      </w:r>
      <w:r w:rsidR="0087246F">
        <w:rPr>
          <w:color w:val="111111"/>
          <w:spacing w:val="1"/>
        </w:rPr>
        <w:t xml:space="preserve">diversification from the loan portfolio. </w:t>
      </w:r>
    </w:p>
    <w:p w14:paraId="1D4B345E" w14:textId="33BFD713" w:rsidR="0087246F" w:rsidRDefault="0087246F" w:rsidP="00A733A9">
      <w:pPr>
        <w:shd w:val="clear" w:color="auto" w:fill="FFFFFF"/>
        <w:spacing w:before="100" w:beforeAutospacing="1" w:after="240" w:line="360" w:lineRule="auto"/>
        <w:rPr>
          <w:color w:val="111111"/>
          <w:spacing w:val="1"/>
        </w:rPr>
      </w:pPr>
      <w:r>
        <w:rPr>
          <w:color w:val="111111"/>
          <w:spacing w:val="1"/>
        </w:rPr>
        <w:t>Prior to Sept. 18, the five-year treasury note was trading around 3.50%. At the same time, a five-year agency with two years of “lockout” that can then be called away periodically (in the vernacular, a “5-2 Bermudan”</w:t>
      </w:r>
      <w:r w:rsidR="007F1634">
        <w:rPr>
          <w:color w:val="111111"/>
          <w:spacing w:val="1"/>
        </w:rPr>
        <w:t>)</w:t>
      </w:r>
      <w:r>
        <w:rPr>
          <w:color w:val="111111"/>
          <w:spacing w:val="1"/>
        </w:rPr>
        <w:t xml:space="preserve"> yielded about 3.90%</w:t>
      </w:r>
      <w:r w:rsidR="003B7A54">
        <w:rPr>
          <w:color w:val="111111"/>
          <w:spacing w:val="1"/>
        </w:rPr>
        <w:t xml:space="preserve">, </w:t>
      </w:r>
      <w:r>
        <w:rPr>
          <w:color w:val="111111"/>
          <w:spacing w:val="1"/>
        </w:rPr>
        <w:t xml:space="preserve">for a yield spread of 40 basis points. Fast forward to the end of the year, and the relative numbers were </w:t>
      </w:r>
      <w:r w:rsidRPr="00F054E5">
        <w:rPr>
          <w:color w:val="FF0000"/>
          <w:spacing w:val="1"/>
        </w:rPr>
        <w:t>4.</w:t>
      </w:r>
      <w:r w:rsidR="00D602A1">
        <w:rPr>
          <w:color w:val="FF0000"/>
          <w:spacing w:val="1"/>
        </w:rPr>
        <w:t>36</w:t>
      </w:r>
      <w:r w:rsidRPr="00F054E5">
        <w:rPr>
          <w:color w:val="FF0000"/>
          <w:spacing w:val="1"/>
        </w:rPr>
        <w:t>%/</w:t>
      </w:r>
      <w:r w:rsidR="00CC60AC" w:rsidRPr="00F054E5">
        <w:rPr>
          <w:color w:val="FF0000"/>
          <w:spacing w:val="1"/>
        </w:rPr>
        <w:t>4.</w:t>
      </w:r>
      <w:r w:rsidR="00D602A1">
        <w:rPr>
          <w:color w:val="FF0000"/>
          <w:spacing w:val="1"/>
        </w:rPr>
        <w:t>66</w:t>
      </w:r>
      <w:r w:rsidR="00CC60AC">
        <w:rPr>
          <w:color w:val="111111"/>
          <w:spacing w:val="1"/>
        </w:rPr>
        <w:t xml:space="preserve">%, for a spread of </w:t>
      </w:r>
      <w:r w:rsidR="00D602A1">
        <w:rPr>
          <w:color w:val="FF0000"/>
          <w:spacing w:val="1"/>
        </w:rPr>
        <w:t>3</w:t>
      </w:r>
      <w:r w:rsidR="00CC60AC" w:rsidRPr="00F054E5">
        <w:rPr>
          <w:color w:val="FF0000"/>
          <w:spacing w:val="1"/>
        </w:rPr>
        <w:t>0</w:t>
      </w:r>
      <w:r w:rsidR="00CC60AC">
        <w:rPr>
          <w:color w:val="111111"/>
          <w:spacing w:val="1"/>
        </w:rPr>
        <w:t xml:space="preserve"> basis points.</w:t>
      </w:r>
    </w:p>
    <w:p w14:paraId="28A79B0E" w14:textId="74340557" w:rsidR="00CC60AC" w:rsidRDefault="00CC60AC" w:rsidP="00A733A9">
      <w:pPr>
        <w:shd w:val="clear" w:color="auto" w:fill="FFFFFF"/>
        <w:spacing w:before="100" w:beforeAutospacing="1" w:after="240" w:line="360" w:lineRule="auto"/>
        <w:rPr>
          <w:color w:val="111111"/>
          <w:spacing w:val="1"/>
        </w:rPr>
      </w:pPr>
      <w:r>
        <w:rPr>
          <w:color w:val="111111"/>
          <w:spacing w:val="1"/>
        </w:rPr>
        <w:t xml:space="preserve">In MBS land, I’ve selected a FNMA 15-year 4.5% pool. </w:t>
      </w:r>
      <w:r w:rsidR="007F1634">
        <w:rPr>
          <w:color w:val="111111"/>
          <w:spacing w:val="1"/>
        </w:rPr>
        <w:t>In mid-September</w:t>
      </w:r>
      <w:r w:rsidR="00A028A0">
        <w:rPr>
          <w:color w:val="111111"/>
          <w:spacing w:val="1"/>
        </w:rPr>
        <w:t>,</w:t>
      </w:r>
      <w:r w:rsidR="007F1634">
        <w:rPr>
          <w:color w:val="111111"/>
          <w:spacing w:val="1"/>
        </w:rPr>
        <w:t xml:space="preserve"> they were priced around 101.00, which produced a yield to maturity (YTM) of about 4.15% and a yield spread of .71%. By year</w:t>
      </w:r>
      <w:r w:rsidR="00A028A0">
        <w:rPr>
          <w:color w:val="111111"/>
          <w:spacing w:val="1"/>
        </w:rPr>
        <w:t xml:space="preserve"> </w:t>
      </w:r>
      <w:r w:rsidR="007F1634">
        <w:rPr>
          <w:color w:val="111111"/>
          <w:spacing w:val="1"/>
        </w:rPr>
        <w:t>end, the price had fallen by nearly 2%</w:t>
      </w:r>
      <w:r w:rsidR="003B7A54">
        <w:rPr>
          <w:color w:val="111111"/>
          <w:spacing w:val="1"/>
        </w:rPr>
        <w:t xml:space="preserve"> to </w:t>
      </w:r>
      <w:r w:rsidR="00A028A0">
        <w:rPr>
          <w:color w:val="111111"/>
          <w:spacing w:val="1"/>
        </w:rPr>
        <w:t xml:space="preserve">about </w:t>
      </w:r>
      <w:r w:rsidR="003B7A54" w:rsidRPr="002812A9">
        <w:rPr>
          <w:color w:val="FF0000"/>
          <w:spacing w:val="1"/>
        </w:rPr>
        <w:t>9</w:t>
      </w:r>
      <w:r w:rsidR="00D602A1">
        <w:rPr>
          <w:color w:val="FF0000"/>
          <w:spacing w:val="1"/>
        </w:rPr>
        <w:t>8</w:t>
      </w:r>
      <w:r w:rsidR="003B7A54" w:rsidRPr="002812A9">
        <w:rPr>
          <w:color w:val="FF0000"/>
          <w:spacing w:val="1"/>
        </w:rPr>
        <w:t>.</w:t>
      </w:r>
      <w:r w:rsidR="00D602A1">
        <w:rPr>
          <w:color w:val="FF0000"/>
          <w:spacing w:val="1"/>
        </w:rPr>
        <w:t>5</w:t>
      </w:r>
      <w:r w:rsidR="007F1634">
        <w:rPr>
          <w:color w:val="111111"/>
          <w:spacing w:val="1"/>
        </w:rPr>
        <w:t xml:space="preserve">, and the YTM had risen to </w:t>
      </w:r>
      <w:r w:rsidR="007F1634" w:rsidRPr="002812A9">
        <w:rPr>
          <w:color w:val="FF0000"/>
          <w:spacing w:val="1"/>
        </w:rPr>
        <w:t>4.</w:t>
      </w:r>
      <w:r w:rsidR="00D602A1">
        <w:rPr>
          <w:color w:val="FF0000"/>
          <w:spacing w:val="1"/>
        </w:rPr>
        <w:t>82</w:t>
      </w:r>
      <w:r w:rsidR="007F1634">
        <w:rPr>
          <w:color w:val="111111"/>
          <w:spacing w:val="1"/>
        </w:rPr>
        <w:t xml:space="preserve">% at a spread of </w:t>
      </w:r>
      <w:r w:rsidR="007F1634" w:rsidRPr="002812A9">
        <w:rPr>
          <w:color w:val="FF0000"/>
          <w:spacing w:val="1"/>
        </w:rPr>
        <w:t>.5</w:t>
      </w:r>
      <w:r w:rsidR="00D602A1">
        <w:rPr>
          <w:color w:val="FF0000"/>
          <w:spacing w:val="1"/>
        </w:rPr>
        <w:t>4</w:t>
      </w:r>
      <w:r w:rsidR="007F1634">
        <w:rPr>
          <w:color w:val="111111"/>
          <w:spacing w:val="1"/>
        </w:rPr>
        <w:t xml:space="preserve">%. </w:t>
      </w:r>
    </w:p>
    <w:p w14:paraId="2C9527B7" w14:textId="1F9C6CC4" w:rsidR="00A61C8E" w:rsidRDefault="00041161" w:rsidP="00A733A9">
      <w:pPr>
        <w:shd w:val="clear" w:color="auto" w:fill="FFFFFF"/>
        <w:spacing w:before="100" w:beforeAutospacing="1" w:after="240" w:line="360" w:lineRule="auto"/>
        <w:rPr>
          <w:color w:val="111111"/>
          <w:spacing w:val="1"/>
        </w:rPr>
      </w:pPr>
      <w:r>
        <w:rPr>
          <w:color w:val="111111"/>
          <w:spacing w:val="1"/>
        </w:rPr>
        <w:t xml:space="preserve">On the other hand, the tax-exempt market had some volatility late in 2024 thanks to the </w:t>
      </w:r>
      <w:r w:rsidR="00A028A0">
        <w:rPr>
          <w:color w:val="111111"/>
          <w:spacing w:val="1"/>
        </w:rPr>
        <w:t xml:space="preserve">general </w:t>
      </w:r>
      <w:r>
        <w:rPr>
          <w:color w:val="111111"/>
          <w:spacing w:val="1"/>
        </w:rPr>
        <w:t xml:space="preserve">election. As has been the case recently, a lot of muni issuers rushed to the market in October to </w:t>
      </w:r>
      <w:r>
        <w:rPr>
          <w:color w:val="111111"/>
          <w:spacing w:val="1"/>
        </w:rPr>
        <w:lastRenderedPageBreak/>
        <w:t xml:space="preserve">get their proceeds before any potentially adverse yield action in the election aftermath. This caused November and December supply to shrink and yield spreads to constrict even further. </w:t>
      </w:r>
    </w:p>
    <w:p w14:paraId="76953574" w14:textId="40DB405B" w:rsidR="007F1634" w:rsidRDefault="00041161" w:rsidP="00A733A9">
      <w:pPr>
        <w:shd w:val="clear" w:color="auto" w:fill="FFFFFF"/>
        <w:spacing w:before="100" w:beforeAutospacing="1" w:after="240" w:line="360" w:lineRule="auto"/>
        <w:rPr>
          <w:color w:val="111111"/>
          <w:spacing w:val="1"/>
        </w:rPr>
      </w:pPr>
      <w:r>
        <w:rPr>
          <w:color w:val="111111"/>
          <w:spacing w:val="1"/>
        </w:rPr>
        <w:t xml:space="preserve">It’s fair to remind readers that the tax-free muni sector really hasn’t had much relative value for </w:t>
      </w:r>
      <w:r w:rsidR="008F2848">
        <w:rPr>
          <w:color w:val="111111"/>
          <w:spacing w:val="1"/>
        </w:rPr>
        <w:t>C</w:t>
      </w:r>
      <w:r>
        <w:rPr>
          <w:color w:val="111111"/>
          <w:spacing w:val="1"/>
        </w:rPr>
        <w:t xml:space="preserve"> Corps since the tax cuts that went into effect in </w:t>
      </w:r>
      <w:r w:rsidR="008F2848">
        <w:rPr>
          <w:color w:val="111111"/>
          <w:spacing w:val="1"/>
        </w:rPr>
        <w:t>2018 and</w:t>
      </w:r>
      <w:r>
        <w:rPr>
          <w:color w:val="111111"/>
          <w:spacing w:val="1"/>
        </w:rPr>
        <w:t xml:space="preserve"> may be extended further this year. For the record, in mid-September</w:t>
      </w:r>
      <w:r w:rsidR="00A028A0">
        <w:rPr>
          <w:color w:val="111111"/>
          <w:spacing w:val="1"/>
        </w:rPr>
        <w:t>,</w:t>
      </w:r>
      <w:r>
        <w:rPr>
          <w:color w:val="111111"/>
          <w:spacing w:val="1"/>
        </w:rPr>
        <w:t xml:space="preserve"> a 10-year municipal bond produced a tax-equivalent yield of </w:t>
      </w:r>
      <w:r w:rsidR="00A028A0">
        <w:rPr>
          <w:color w:val="111111"/>
          <w:spacing w:val="1"/>
        </w:rPr>
        <w:t xml:space="preserve">about </w:t>
      </w:r>
      <w:r>
        <w:rPr>
          <w:color w:val="111111"/>
          <w:spacing w:val="1"/>
        </w:rPr>
        <w:t xml:space="preserve">3.70%, which was .14% </w:t>
      </w:r>
      <w:r w:rsidR="00A028A0">
        <w:rPr>
          <w:color w:val="111111"/>
          <w:spacing w:val="1"/>
        </w:rPr>
        <w:t>&lt;</w:t>
      </w:r>
      <w:proofErr w:type="spellStart"/>
      <w:r w:rsidR="00A028A0">
        <w:rPr>
          <w:color w:val="111111"/>
          <w:spacing w:val="1"/>
        </w:rPr>
        <w:t>i</w:t>
      </w:r>
      <w:proofErr w:type="spellEnd"/>
      <w:r w:rsidR="00A028A0">
        <w:rPr>
          <w:color w:val="111111"/>
          <w:spacing w:val="1"/>
        </w:rPr>
        <w:t>&gt;</w:t>
      </w:r>
      <w:r w:rsidR="00A028A0" w:rsidRPr="007E69FA">
        <w:rPr>
          <w:i/>
          <w:iCs/>
          <w:color w:val="111111"/>
          <w:spacing w:val="1"/>
        </w:rPr>
        <w:t>less than</w:t>
      </w:r>
      <w:r w:rsidR="00A028A0">
        <w:rPr>
          <w:i/>
          <w:iCs/>
          <w:color w:val="111111"/>
          <w:spacing w:val="1"/>
        </w:rPr>
        <w:t>&lt;</w:t>
      </w:r>
      <w:proofErr w:type="spellStart"/>
      <w:r w:rsidR="00A028A0" w:rsidRPr="007E69FA">
        <w:rPr>
          <w:color w:val="111111"/>
          <w:spacing w:val="1"/>
        </w:rPr>
        <w:t>i</w:t>
      </w:r>
      <w:proofErr w:type="spellEnd"/>
      <w:r w:rsidR="00A028A0">
        <w:rPr>
          <w:i/>
          <w:iCs/>
          <w:color w:val="111111"/>
          <w:spacing w:val="1"/>
        </w:rPr>
        <w:t>&gt;</w:t>
      </w:r>
      <w:r>
        <w:rPr>
          <w:color w:val="111111"/>
          <w:spacing w:val="1"/>
        </w:rPr>
        <w:t xml:space="preserve"> a comparable treasury. By year</w:t>
      </w:r>
      <w:r w:rsidR="00A028A0">
        <w:rPr>
          <w:color w:val="111111"/>
          <w:spacing w:val="1"/>
        </w:rPr>
        <w:t xml:space="preserve"> </w:t>
      </w:r>
      <w:r>
        <w:rPr>
          <w:color w:val="111111"/>
          <w:spacing w:val="1"/>
        </w:rPr>
        <w:t xml:space="preserve">end, the available </w:t>
      </w:r>
      <w:proofErr w:type="spellStart"/>
      <w:r>
        <w:rPr>
          <w:color w:val="111111"/>
          <w:spacing w:val="1"/>
        </w:rPr>
        <w:t>muni</w:t>
      </w:r>
      <w:proofErr w:type="spellEnd"/>
      <w:r>
        <w:rPr>
          <w:color w:val="111111"/>
          <w:spacing w:val="1"/>
        </w:rPr>
        <w:t xml:space="preserve"> yields had not changed much, so their “negative spread” had grown to </w:t>
      </w:r>
      <w:r w:rsidRPr="00B20997">
        <w:rPr>
          <w:color w:val="FF0000"/>
          <w:spacing w:val="1"/>
        </w:rPr>
        <w:t>-.50</w:t>
      </w:r>
      <w:r>
        <w:rPr>
          <w:color w:val="111111"/>
          <w:spacing w:val="1"/>
        </w:rPr>
        <w:t>%. This sector clearly is the domain</w:t>
      </w:r>
      <w:r w:rsidR="008F2848">
        <w:rPr>
          <w:color w:val="111111"/>
          <w:spacing w:val="1"/>
        </w:rPr>
        <w:t xml:space="preserve"> for individuals and S Corps. </w:t>
      </w:r>
      <w:r w:rsidR="00CA4242">
        <w:rPr>
          <w:color w:val="111111"/>
          <w:spacing w:val="1"/>
        </w:rPr>
        <w:t xml:space="preserve">Alternatively, they may be ideal candidates for sources of liquidity. </w:t>
      </w:r>
    </w:p>
    <w:p w14:paraId="7C9AC200" w14:textId="77777777" w:rsidR="00A028A0" w:rsidRDefault="00A028A0" w:rsidP="00A733A9">
      <w:pPr>
        <w:shd w:val="clear" w:color="auto" w:fill="FFFFFF"/>
        <w:spacing w:before="100" w:beforeAutospacing="1" w:after="240" w:line="360" w:lineRule="auto"/>
        <w:rPr>
          <w:color w:val="111111"/>
          <w:spacing w:val="1"/>
        </w:rPr>
      </w:pPr>
    </w:p>
    <w:p w14:paraId="48F247FC" w14:textId="7E5759A9" w:rsidR="006160B7" w:rsidRDefault="0017028E" w:rsidP="00A733A9">
      <w:pPr>
        <w:shd w:val="clear" w:color="auto" w:fill="FFFFFF"/>
        <w:spacing w:before="100" w:beforeAutospacing="1" w:after="240" w:line="360" w:lineRule="auto"/>
        <w:rPr>
          <w:b/>
          <w:bCs/>
          <w:color w:val="111111"/>
          <w:spacing w:val="1"/>
        </w:rPr>
      </w:pPr>
      <w:r>
        <w:rPr>
          <w:b/>
          <w:bCs/>
          <w:color w:val="111111"/>
          <w:spacing w:val="1"/>
        </w:rPr>
        <w:t>[</w:t>
      </w:r>
      <w:proofErr w:type="spellStart"/>
      <w:r>
        <w:rPr>
          <w:b/>
          <w:bCs/>
          <w:color w:val="111111"/>
          <w:spacing w:val="1"/>
        </w:rPr>
        <w:t>subhed</w:t>
      </w:r>
      <w:proofErr w:type="spellEnd"/>
      <w:r>
        <w:rPr>
          <w:b/>
          <w:bCs/>
          <w:color w:val="111111"/>
          <w:spacing w:val="1"/>
        </w:rPr>
        <w:t xml:space="preserve">] </w:t>
      </w:r>
      <w:r w:rsidR="00680C96">
        <w:rPr>
          <w:b/>
          <w:bCs/>
          <w:color w:val="111111"/>
          <w:spacing w:val="1"/>
        </w:rPr>
        <w:t>Rational expectations?</w:t>
      </w:r>
    </w:p>
    <w:p w14:paraId="6BD6A9A3" w14:textId="69B036D9" w:rsidR="00A028A0" w:rsidRDefault="0077368A" w:rsidP="00A733A9">
      <w:pPr>
        <w:shd w:val="clear" w:color="auto" w:fill="FFFFFF"/>
        <w:spacing w:before="100" w:beforeAutospacing="1" w:after="240" w:line="360" w:lineRule="auto"/>
        <w:rPr>
          <w:color w:val="111111"/>
          <w:spacing w:val="1"/>
        </w:rPr>
      </w:pPr>
      <w:r w:rsidRPr="0077368A">
        <w:rPr>
          <w:color w:val="111111"/>
          <w:spacing w:val="1"/>
        </w:rPr>
        <w:t>What to make of all of this?</w:t>
      </w:r>
      <w:r>
        <w:rPr>
          <w:color w:val="111111"/>
          <w:spacing w:val="1"/>
        </w:rPr>
        <w:t xml:space="preserve"> First, taxable securities are easily more attractive</w:t>
      </w:r>
      <w:r w:rsidR="00B20997">
        <w:rPr>
          <w:color w:val="111111"/>
          <w:spacing w:val="1"/>
        </w:rPr>
        <w:t xml:space="preserve"> than </w:t>
      </w:r>
      <w:proofErr w:type="spellStart"/>
      <w:r w:rsidR="00B20997">
        <w:rPr>
          <w:color w:val="111111"/>
          <w:spacing w:val="1"/>
        </w:rPr>
        <w:t>nontaxables</w:t>
      </w:r>
      <w:proofErr w:type="spellEnd"/>
      <w:r w:rsidR="00B20997">
        <w:rPr>
          <w:color w:val="111111"/>
          <w:spacing w:val="1"/>
        </w:rPr>
        <w:t xml:space="preserve"> </w:t>
      </w:r>
      <w:r>
        <w:rPr>
          <w:color w:val="111111"/>
          <w:spacing w:val="1"/>
        </w:rPr>
        <w:t>for</w:t>
      </w:r>
      <w:r w:rsidR="00B20997">
        <w:rPr>
          <w:color w:val="111111"/>
          <w:spacing w:val="1"/>
        </w:rPr>
        <w:t xml:space="preserve"> most</w:t>
      </w:r>
      <w:r>
        <w:rPr>
          <w:color w:val="111111"/>
          <w:spacing w:val="1"/>
        </w:rPr>
        <w:t xml:space="preserve"> community banks. Secondly, yield spreads have widened out in the </w:t>
      </w:r>
      <w:r w:rsidR="00A028A0">
        <w:rPr>
          <w:color w:val="111111"/>
          <w:spacing w:val="1"/>
        </w:rPr>
        <w:t>p</w:t>
      </w:r>
      <w:r>
        <w:rPr>
          <w:color w:val="111111"/>
          <w:spacing w:val="1"/>
        </w:rPr>
        <w:t>ast several months on agencies</w:t>
      </w:r>
      <w:r w:rsidR="00A028A0">
        <w:rPr>
          <w:color w:val="111111"/>
          <w:spacing w:val="1"/>
        </w:rPr>
        <w:t>,</w:t>
      </w:r>
      <w:r>
        <w:rPr>
          <w:color w:val="111111"/>
          <w:spacing w:val="1"/>
        </w:rPr>
        <w:t xml:space="preserve"> even though general market yields have risen, which is unusual. Thirdly, and as a refresher, if yields are going to trend lower this year, you can expect </w:t>
      </w:r>
      <w:r w:rsidR="00C83523">
        <w:rPr>
          <w:color w:val="111111"/>
          <w:spacing w:val="1"/>
        </w:rPr>
        <w:t>incremental yield</w:t>
      </w:r>
      <w:r>
        <w:rPr>
          <w:color w:val="111111"/>
          <w:spacing w:val="1"/>
        </w:rPr>
        <w:t xml:space="preserve">s to widen. This will compensate investors for increased exposure to bonds being called away. </w:t>
      </w:r>
    </w:p>
    <w:p w14:paraId="234D2D14" w14:textId="7EEBAF22" w:rsidR="008F1BDA" w:rsidRDefault="00C83523" w:rsidP="00A733A9">
      <w:pPr>
        <w:shd w:val="clear" w:color="auto" w:fill="FFFFFF"/>
        <w:spacing w:before="100" w:beforeAutospacing="1" w:after="240" w:line="360" w:lineRule="auto"/>
        <w:rPr>
          <w:color w:val="111111"/>
          <w:spacing w:val="1"/>
        </w:rPr>
      </w:pPr>
      <w:r>
        <w:rPr>
          <w:color w:val="111111"/>
          <w:spacing w:val="1"/>
        </w:rPr>
        <w:t xml:space="preserve">And finally, keep in touch with your favorite brokers to identify where pockets of “spread” may be found. No surprise that another definition of the term is </w:t>
      </w:r>
      <w:r w:rsidR="00A028A0">
        <w:rPr>
          <w:color w:val="111111"/>
          <w:spacing w:val="1"/>
        </w:rPr>
        <w:t>“</w:t>
      </w:r>
      <w:r>
        <w:rPr>
          <w:color w:val="111111"/>
          <w:spacing w:val="1"/>
        </w:rPr>
        <w:t>a bountiful feast.</w:t>
      </w:r>
      <w:r w:rsidR="00A028A0">
        <w:rPr>
          <w:color w:val="111111"/>
          <w:spacing w:val="1"/>
        </w:rPr>
        <w:t>”</w:t>
      </w:r>
      <w:r>
        <w:rPr>
          <w:color w:val="111111"/>
          <w:spacing w:val="1"/>
        </w:rPr>
        <w:t xml:space="preserve"> </w:t>
      </w:r>
    </w:p>
    <w:p w14:paraId="19C07AD3" w14:textId="77777777" w:rsidR="00A028A0" w:rsidRPr="0077368A" w:rsidRDefault="00A028A0" w:rsidP="00A733A9">
      <w:pPr>
        <w:shd w:val="clear" w:color="auto" w:fill="FFFFFF"/>
        <w:spacing w:before="100" w:beforeAutospacing="1" w:after="240" w:line="360" w:lineRule="auto"/>
        <w:rPr>
          <w:color w:val="111111"/>
          <w:spacing w:val="1"/>
        </w:rPr>
      </w:pPr>
    </w:p>
    <w:p w14:paraId="0A7E5C89" w14:textId="6EFDC065" w:rsidR="002E29B9" w:rsidRPr="008F1BDA" w:rsidRDefault="002E29B9" w:rsidP="002E29B9">
      <w:pPr>
        <w:tabs>
          <w:tab w:val="left" w:pos="2550"/>
        </w:tabs>
        <w:spacing w:after="240" w:line="276" w:lineRule="auto"/>
        <w:rPr>
          <w:iCs/>
        </w:rPr>
      </w:pPr>
      <w:r w:rsidRPr="005E71B0">
        <w:rPr>
          <w:rStyle w:val="ICBAbold"/>
          <w:iCs/>
        </w:rPr>
        <w:t>Jim Reber</w:t>
      </w:r>
      <w:r w:rsidR="0017028E">
        <w:rPr>
          <w:rStyle w:val="ICBAbold"/>
          <w:iCs/>
        </w:rPr>
        <w:t>, CPA, CFA</w:t>
      </w:r>
      <w:r w:rsidRPr="005E71B0">
        <w:rPr>
          <w:iCs/>
        </w:rPr>
        <w:t xml:space="preserve"> </w:t>
      </w:r>
      <w:r w:rsidRPr="008F1BDA">
        <w:rPr>
          <w:iCs/>
        </w:rPr>
        <w:t>(</w:t>
      </w:r>
      <w:hyperlink r:id="rId8" w:history="1">
        <w:r w:rsidRPr="008F1BDA">
          <w:rPr>
            <w:rStyle w:val="Hyperlink"/>
            <w:rFonts w:eastAsiaTheme="majorEastAsia"/>
            <w:i/>
          </w:rPr>
          <w:t>jreber@icbasecurities.com</w:t>
        </w:r>
      </w:hyperlink>
      <w:r w:rsidRPr="008F1BDA">
        <w:rPr>
          <w:iCs/>
        </w:rPr>
        <w:t>)</w:t>
      </w:r>
      <w:r w:rsidR="0017028E">
        <w:rPr>
          <w:iCs/>
        </w:rPr>
        <w:t>,</w:t>
      </w:r>
      <w:r w:rsidRPr="008F1BDA">
        <w:rPr>
          <w:iCs/>
        </w:rPr>
        <w:t xml:space="preserve"> is president and CEO of ICBA Securities, ICBA’s institutional, fixed-income broker-dealer for community banks</w:t>
      </w:r>
      <w:r w:rsidR="00AD481C">
        <w:rPr>
          <w:iCs/>
        </w:rPr>
        <w:t>.</w:t>
      </w:r>
    </w:p>
    <w:p w14:paraId="2CB0B110" w14:textId="77777777" w:rsidR="002E29B9" w:rsidRDefault="002E29B9" w:rsidP="002E29B9">
      <w:pPr>
        <w:tabs>
          <w:tab w:val="left" w:pos="540"/>
        </w:tabs>
        <w:spacing w:after="240" w:line="276" w:lineRule="auto"/>
        <w:rPr>
          <w:rStyle w:val="ICBAbold"/>
          <w:color w:val="FF0000"/>
        </w:rPr>
      </w:pPr>
      <w:r w:rsidRPr="005E71B0">
        <w:rPr>
          <w:rStyle w:val="ICBAbold"/>
          <w:color w:val="FF0000"/>
        </w:rPr>
        <w:t>[ends]</w:t>
      </w:r>
    </w:p>
    <w:p w14:paraId="63F8E8CD" w14:textId="77777777" w:rsidR="001E770A" w:rsidRDefault="001E770A" w:rsidP="002E29B9">
      <w:pPr>
        <w:tabs>
          <w:tab w:val="left" w:pos="540"/>
        </w:tabs>
        <w:spacing w:after="240" w:line="276" w:lineRule="auto"/>
        <w:rPr>
          <w:rStyle w:val="ICBAbold"/>
          <w:color w:val="FF0000"/>
        </w:rPr>
      </w:pPr>
    </w:p>
    <w:p w14:paraId="244FE1A2" w14:textId="77777777" w:rsidR="002E29B9" w:rsidRDefault="002E29B9" w:rsidP="002E29B9">
      <w:pPr>
        <w:tabs>
          <w:tab w:val="left" w:pos="540"/>
        </w:tabs>
        <w:spacing w:after="240" w:line="276" w:lineRule="auto"/>
        <w:rPr>
          <w:rStyle w:val="ICBAbold"/>
        </w:rPr>
      </w:pPr>
      <w:r w:rsidRPr="005E71B0">
        <w:rPr>
          <w:rStyle w:val="ICBAbold"/>
          <w:color w:val="FF0000"/>
        </w:rPr>
        <w:t xml:space="preserve">[sidebar] </w:t>
      </w:r>
      <w:r w:rsidRPr="005E71B0">
        <w:rPr>
          <w:rStyle w:val="ICBAbold"/>
        </w:rPr>
        <w:t>Education on tap</w:t>
      </w:r>
    </w:p>
    <w:p w14:paraId="50C830DF" w14:textId="60231CB3" w:rsidR="00114959" w:rsidRDefault="00680C96" w:rsidP="002E29B9">
      <w:pPr>
        <w:tabs>
          <w:tab w:val="left" w:pos="540"/>
        </w:tabs>
        <w:spacing w:after="240" w:line="276" w:lineRule="auto"/>
        <w:rPr>
          <w:rStyle w:val="ICBAbold"/>
        </w:rPr>
      </w:pPr>
      <w:r>
        <w:rPr>
          <w:rStyle w:val="ICBAbold"/>
        </w:rPr>
        <w:t>February bank strategies webcast</w:t>
      </w:r>
    </w:p>
    <w:p w14:paraId="0A607FDE" w14:textId="28351FE4" w:rsidR="00350B43" w:rsidRDefault="00350B43" w:rsidP="00350B43">
      <w:pPr>
        <w:spacing w:line="360" w:lineRule="auto"/>
        <w:rPr>
          <w:rStyle w:val="ICBAbold"/>
          <w:b w:val="0"/>
          <w:bCs/>
        </w:rPr>
      </w:pPr>
      <w:r w:rsidRPr="00E5471A">
        <w:rPr>
          <w:rStyle w:val="ICBAbold"/>
          <w:b w:val="0"/>
          <w:bCs/>
        </w:rPr>
        <w:lastRenderedPageBreak/>
        <w:t>ICBA Securities</w:t>
      </w:r>
      <w:r>
        <w:rPr>
          <w:rStyle w:val="ICBAbold"/>
          <w:b w:val="0"/>
          <w:bCs/>
        </w:rPr>
        <w:t xml:space="preserve"> and its </w:t>
      </w:r>
      <w:r w:rsidRPr="00E5471A">
        <w:rPr>
          <w:rStyle w:val="ICBAbold"/>
          <w:b w:val="0"/>
          <w:bCs/>
        </w:rPr>
        <w:t>exclusive broker</w:t>
      </w:r>
      <w:r w:rsidR="00A028A0">
        <w:rPr>
          <w:rStyle w:val="ICBAbold"/>
          <w:b w:val="0"/>
          <w:bCs/>
        </w:rPr>
        <w:t>,</w:t>
      </w:r>
      <w:r w:rsidRPr="00E5471A">
        <w:rPr>
          <w:rStyle w:val="ICBAbold"/>
          <w:b w:val="0"/>
          <w:bCs/>
        </w:rPr>
        <w:t xml:space="preserve"> Stifel</w:t>
      </w:r>
      <w:r w:rsidR="00A028A0">
        <w:rPr>
          <w:rStyle w:val="ICBAbold"/>
          <w:b w:val="0"/>
          <w:bCs/>
        </w:rPr>
        <w:t>,</w:t>
      </w:r>
      <w:r w:rsidRPr="00E5471A">
        <w:rPr>
          <w:rStyle w:val="ICBAbold"/>
          <w:b w:val="0"/>
          <w:bCs/>
        </w:rPr>
        <w:t xml:space="preserve"> will </w:t>
      </w:r>
      <w:r>
        <w:rPr>
          <w:rStyle w:val="ICBAbold"/>
          <w:b w:val="0"/>
          <w:bCs/>
        </w:rPr>
        <w:t xml:space="preserve">host their Quarterly Bank Strategy webinar on </w:t>
      </w:r>
      <w:r w:rsidR="00A028A0">
        <w:rPr>
          <w:rStyle w:val="ICBAbold"/>
          <w:b w:val="0"/>
          <w:bCs/>
        </w:rPr>
        <w:t xml:space="preserve">Feb. </w:t>
      </w:r>
      <w:r w:rsidRPr="00B20997">
        <w:rPr>
          <w:rStyle w:val="ICBAbold"/>
          <w:b w:val="0"/>
          <w:bCs/>
          <w:color w:val="FF0000"/>
        </w:rPr>
        <w:t>6</w:t>
      </w:r>
      <w:r>
        <w:rPr>
          <w:rStyle w:val="ICBAbold"/>
          <w:b w:val="0"/>
          <w:bCs/>
        </w:rPr>
        <w:t xml:space="preserve"> at 1 p.m. Eastern. Several strategists and economists will make presentations, and up to 1.5 hours of CPE are offered.</w:t>
      </w:r>
      <w:r w:rsidRPr="00E5471A">
        <w:rPr>
          <w:rStyle w:val="ICBAbold"/>
          <w:b w:val="0"/>
          <w:bCs/>
        </w:rPr>
        <w:t xml:space="preserve"> For more information and to register, </w:t>
      </w:r>
      <w:r>
        <w:rPr>
          <w:rStyle w:val="ICBAbold"/>
          <w:b w:val="0"/>
          <w:bCs/>
        </w:rPr>
        <w:t>contact your Stifel rep.</w:t>
      </w:r>
    </w:p>
    <w:p w14:paraId="41A1C820" w14:textId="446FA6D8" w:rsidR="00350B43" w:rsidRDefault="00350B43" w:rsidP="00350B43">
      <w:pPr>
        <w:spacing w:line="360" w:lineRule="auto"/>
        <w:rPr>
          <w:rStyle w:val="ICBAbold"/>
          <w:b w:val="0"/>
          <w:iCs/>
        </w:rPr>
      </w:pPr>
      <w:r>
        <w:rPr>
          <w:rStyle w:val="ICBAbold"/>
          <w:b w:val="0"/>
          <w:bCs/>
        </w:rPr>
        <w:t xml:space="preserve"> </w:t>
      </w:r>
    </w:p>
    <w:p w14:paraId="019C3C22" w14:textId="252C9FF5" w:rsidR="00D73FF8" w:rsidRDefault="00680C96" w:rsidP="00D73FF8">
      <w:pPr>
        <w:tabs>
          <w:tab w:val="left" w:pos="540"/>
        </w:tabs>
        <w:spacing w:after="240" w:line="276" w:lineRule="auto"/>
        <w:rPr>
          <w:rStyle w:val="ICBAbold"/>
        </w:rPr>
      </w:pPr>
      <w:r>
        <w:rPr>
          <w:rStyle w:val="ICBAbold"/>
        </w:rPr>
        <w:t>Bond Academy 2025</w:t>
      </w:r>
    </w:p>
    <w:p w14:paraId="734547F7" w14:textId="5B945488" w:rsidR="00114959" w:rsidRPr="00C6487D" w:rsidRDefault="00FE205D" w:rsidP="008F1BDA">
      <w:pPr>
        <w:spacing w:line="360" w:lineRule="auto"/>
        <w:rPr>
          <w:rStyle w:val="ICBAbold"/>
          <w:b w:val="0"/>
          <w:bCs/>
        </w:rPr>
      </w:pPr>
      <w:r>
        <w:rPr>
          <w:rStyle w:val="ICBAbold"/>
          <w:b w:val="0"/>
          <w:bCs/>
        </w:rPr>
        <w:t xml:space="preserve">ICBA Securities and Stifel </w:t>
      </w:r>
      <w:r w:rsidR="00680C96">
        <w:rPr>
          <w:rStyle w:val="ICBAbold"/>
          <w:b w:val="0"/>
          <w:bCs/>
        </w:rPr>
        <w:t xml:space="preserve">have opened registration for the 2025 Bond Academy. This course teaches bond and portfolio management </w:t>
      </w:r>
      <w:r w:rsidR="00A61C8E">
        <w:rPr>
          <w:rStyle w:val="ICBAbold"/>
          <w:b w:val="0"/>
          <w:bCs/>
        </w:rPr>
        <w:t>fundamentals and</w:t>
      </w:r>
      <w:r w:rsidR="00680C96">
        <w:rPr>
          <w:rStyle w:val="ICBAbold"/>
          <w:b w:val="0"/>
          <w:bCs/>
        </w:rPr>
        <w:t xml:space="preserve"> is scheduled for April 28-29, 2025. It will take place at the Omni Hotel at the Battery in Atlanta. For more information</w:t>
      </w:r>
      <w:r w:rsidR="00A028A0">
        <w:rPr>
          <w:rStyle w:val="ICBAbold"/>
          <w:b w:val="0"/>
          <w:bCs/>
        </w:rPr>
        <w:t>,</w:t>
      </w:r>
      <w:r w:rsidR="00680C96">
        <w:rPr>
          <w:rStyle w:val="ICBAbold"/>
          <w:b w:val="0"/>
          <w:bCs/>
        </w:rPr>
        <w:t xml:space="preserve"> </w:t>
      </w:r>
      <w:r w:rsidR="00350B43">
        <w:rPr>
          <w:rStyle w:val="ICBAbold"/>
          <w:b w:val="0"/>
          <w:bCs/>
        </w:rPr>
        <w:t>visit icba.org/education</w:t>
      </w:r>
    </w:p>
    <w:p w14:paraId="631C08B7" w14:textId="77777777" w:rsidR="002E29B9" w:rsidRPr="005E71B0" w:rsidRDefault="002E29B9" w:rsidP="002E29B9">
      <w:pPr>
        <w:spacing w:after="240" w:line="276" w:lineRule="auto"/>
        <w:rPr>
          <w:rStyle w:val="ICBAbold"/>
          <w:b w:val="0"/>
          <w:color w:val="FF0000"/>
        </w:rPr>
      </w:pPr>
      <w:r w:rsidRPr="005E71B0">
        <w:rPr>
          <w:rStyle w:val="ICBAbold"/>
          <w:color w:val="FF0000"/>
        </w:rPr>
        <w:t>[sidebar ends]</w:t>
      </w:r>
    </w:p>
    <w:p w14:paraId="45873C7B" w14:textId="77777777" w:rsidR="002E29B9" w:rsidRPr="005E71B0" w:rsidRDefault="002E29B9" w:rsidP="002E29B9">
      <w:pPr>
        <w:spacing w:after="240" w:line="276" w:lineRule="auto"/>
        <w:rPr>
          <w:rStyle w:val="ICBAbold"/>
          <w:b w:val="0"/>
          <w:color w:val="FF0000"/>
        </w:rPr>
      </w:pPr>
    </w:p>
    <w:p w14:paraId="70281904" w14:textId="77777777" w:rsidR="002E29B9" w:rsidRDefault="002E29B9" w:rsidP="002E29B9">
      <w:pPr>
        <w:spacing w:after="240" w:line="276" w:lineRule="auto"/>
        <w:rPr>
          <w:rStyle w:val="ICBAbold"/>
          <w:color w:val="FF0000"/>
        </w:rPr>
      </w:pPr>
      <w:r w:rsidRPr="005E71B0">
        <w:rPr>
          <w:rStyle w:val="ICBAbold"/>
          <w:color w:val="FF0000"/>
        </w:rPr>
        <w:t>[pull quote]</w:t>
      </w:r>
    </w:p>
    <w:p w14:paraId="6BEF35E8" w14:textId="52F3FBE4" w:rsidR="00AA13D6" w:rsidRDefault="00AA13D6" w:rsidP="002E29B9">
      <w:pPr>
        <w:spacing w:after="240" w:line="276" w:lineRule="auto"/>
        <w:rPr>
          <w:rStyle w:val="ICBAbold"/>
          <w:color w:val="FF0000"/>
        </w:rPr>
      </w:pPr>
      <w:r>
        <w:rPr>
          <w:rStyle w:val="ICBAbold"/>
          <w:b w:val="0"/>
          <w:bCs/>
        </w:rPr>
        <w:t>The good news is that there are mountains of documentation regarding historical spreads for virtually any bond sector that is suitable for community banks, as well as for current offerings.</w:t>
      </w:r>
    </w:p>
    <w:sectPr w:rsidR="00AA13D6" w:rsidSect="008D2B7C">
      <w:headerReference w:type="default" r:id="rId9"/>
      <w:foot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215723A" w14:textId="77777777" w:rsidR="001F2093" w:rsidRDefault="001F2093" w:rsidP="00BC2486">
      <w:r>
        <w:separator/>
      </w:r>
    </w:p>
  </w:endnote>
  <w:endnote w:type="continuationSeparator" w:id="0">
    <w:p w14:paraId="447AA5A3" w14:textId="77777777" w:rsidR="001F2093" w:rsidRDefault="001F2093" w:rsidP="00BC2486">
      <w:r>
        <w:continuationSeparator/>
      </w:r>
    </w:p>
  </w:endnote>
  <w:endnote w:type="continuationNotice" w:id="1">
    <w:p w14:paraId="68C21F77" w14:textId="77777777" w:rsidR="001F2093" w:rsidRDefault="001F209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EB3AB0" w14:textId="77777777" w:rsidR="00BC2486" w:rsidRDefault="00BC248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DA252FC" w14:textId="77777777" w:rsidR="001F2093" w:rsidRDefault="001F2093" w:rsidP="00BC2486">
      <w:r>
        <w:separator/>
      </w:r>
    </w:p>
  </w:footnote>
  <w:footnote w:type="continuationSeparator" w:id="0">
    <w:p w14:paraId="77DD5D3D" w14:textId="77777777" w:rsidR="001F2093" w:rsidRDefault="001F2093" w:rsidP="00BC2486">
      <w:r>
        <w:continuationSeparator/>
      </w:r>
    </w:p>
  </w:footnote>
  <w:footnote w:type="continuationNotice" w:id="1">
    <w:p w14:paraId="27C9E7FC" w14:textId="77777777" w:rsidR="001F2093" w:rsidRDefault="001F209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F64E83" w14:textId="77777777" w:rsidR="00BC2486" w:rsidRDefault="00BC248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67B699C"/>
    <w:multiLevelType w:val="multilevel"/>
    <w:tmpl w:val="BEC2986A"/>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num w:numId="1" w16cid:durableId="107003592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6"/>
  <w:proofState w:spelling="clean" w:grammar="clean"/>
  <w:trackRevisions/>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29B9"/>
    <w:rsid w:val="00002998"/>
    <w:rsid w:val="000034BC"/>
    <w:rsid w:val="000063F5"/>
    <w:rsid w:val="00006FED"/>
    <w:rsid w:val="00007914"/>
    <w:rsid w:val="000114E4"/>
    <w:rsid w:val="00013A2D"/>
    <w:rsid w:val="00013AB6"/>
    <w:rsid w:val="000145C3"/>
    <w:rsid w:val="000153DD"/>
    <w:rsid w:val="000154A5"/>
    <w:rsid w:val="00016BDC"/>
    <w:rsid w:val="0001766E"/>
    <w:rsid w:val="0001770D"/>
    <w:rsid w:val="00023687"/>
    <w:rsid w:val="0002382D"/>
    <w:rsid w:val="00024470"/>
    <w:rsid w:val="000257DF"/>
    <w:rsid w:val="00026A75"/>
    <w:rsid w:val="000312AD"/>
    <w:rsid w:val="00031F9E"/>
    <w:rsid w:val="00031FBB"/>
    <w:rsid w:val="00033824"/>
    <w:rsid w:val="00034044"/>
    <w:rsid w:val="0003446B"/>
    <w:rsid w:val="0003523F"/>
    <w:rsid w:val="000357F4"/>
    <w:rsid w:val="00037045"/>
    <w:rsid w:val="00037779"/>
    <w:rsid w:val="000377B5"/>
    <w:rsid w:val="0003790E"/>
    <w:rsid w:val="0004087D"/>
    <w:rsid w:val="00041161"/>
    <w:rsid w:val="000416C6"/>
    <w:rsid w:val="0004579B"/>
    <w:rsid w:val="00045D12"/>
    <w:rsid w:val="00051B8A"/>
    <w:rsid w:val="0005331D"/>
    <w:rsid w:val="00053929"/>
    <w:rsid w:val="00053D96"/>
    <w:rsid w:val="0005676C"/>
    <w:rsid w:val="000571ED"/>
    <w:rsid w:val="00057AB9"/>
    <w:rsid w:val="00057BC8"/>
    <w:rsid w:val="00062C26"/>
    <w:rsid w:val="000632C2"/>
    <w:rsid w:val="00063A9F"/>
    <w:rsid w:val="00065606"/>
    <w:rsid w:val="0006565B"/>
    <w:rsid w:val="00065968"/>
    <w:rsid w:val="00067E2A"/>
    <w:rsid w:val="00067EA9"/>
    <w:rsid w:val="00070150"/>
    <w:rsid w:val="0007200E"/>
    <w:rsid w:val="000722B3"/>
    <w:rsid w:val="0007251A"/>
    <w:rsid w:val="00072926"/>
    <w:rsid w:val="00074A42"/>
    <w:rsid w:val="00075532"/>
    <w:rsid w:val="00075EF8"/>
    <w:rsid w:val="00080F1C"/>
    <w:rsid w:val="00080F33"/>
    <w:rsid w:val="00083662"/>
    <w:rsid w:val="00087915"/>
    <w:rsid w:val="0008797F"/>
    <w:rsid w:val="000938F9"/>
    <w:rsid w:val="0009394F"/>
    <w:rsid w:val="00094BAB"/>
    <w:rsid w:val="000956A9"/>
    <w:rsid w:val="00095DAF"/>
    <w:rsid w:val="00095FFF"/>
    <w:rsid w:val="00097B2F"/>
    <w:rsid w:val="000A1958"/>
    <w:rsid w:val="000A4812"/>
    <w:rsid w:val="000A505B"/>
    <w:rsid w:val="000A519B"/>
    <w:rsid w:val="000A60BB"/>
    <w:rsid w:val="000B0089"/>
    <w:rsid w:val="000B044E"/>
    <w:rsid w:val="000B0BBD"/>
    <w:rsid w:val="000B105E"/>
    <w:rsid w:val="000B1189"/>
    <w:rsid w:val="000B2A72"/>
    <w:rsid w:val="000B3554"/>
    <w:rsid w:val="000B5FD7"/>
    <w:rsid w:val="000B7497"/>
    <w:rsid w:val="000B75E6"/>
    <w:rsid w:val="000B7996"/>
    <w:rsid w:val="000B79C4"/>
    <w:rsid w:val="000C1A4D"/>
    <w:rsid w:val="000C240F"/>
    <w:rsid w:val="000C248F"/>
    <w:rsid w:val="000C38AA"/>
    <w:rsid w:val="000C4870"/>
    <w:rsid w:val="000C664C"/>
    <w:rsid w:val="000C69A6"/>
    <w:rsid w:val="000C6DB6"/>
    <w:rsid w:val="000C6EB9"/>
    <w:rsid w:val="000C7993"/>
    <w:rsid w:val="000C7A0A"/>
    <w:rsid w:val="000D3022"/>
    <w:rsid w:val="000D38D5"/>
    <w:rsid w:val="000D49ED"/>
    <w:rsid w:val="000D51B9"/>
    <w:rsid w:val="000D6923"/>
    <w:rsid w:val="000D77D9"/>
    <w:rsid w:val="000E0B57"/>
    <w:rsid w:val="000E25AD"/>
    <w:rsid w:val="000E3F7B"/>
    <w:rsid w:val="000E5E7B"/>
    <w:rsid w:val="000E62CF"/>
    <w:rsid w:val="000E6423"/>
    <w:rsid w:val="000E64EE"/>
    <w:rsid w:val="000F04ED"/>
    <w:rsid w:val="000F1F4A"/>
    <w:rsid w:val="000F23E1"/>
    <w:rsid w:val="000F297D"/>
    <w:rsid w:val="000F2FFC"/>
    <w:rsid w:val="000F3AD9"/>
    <w:rsid w:val="000F41F2"/>
    <w:rsid w:val="000F4DA2"/>
    <w:rsid w:val="000F4FC9"/>
    <w:rsid w:val="000F53E3"/>
    <w:rsid w:val="000F5838"/>
    <w:rsid w:val="000F616B"/>
    <w:rsid w:val="000F6272"/>
    <w:rsid w:val="000F634A"/>
    <w:rsid w:val="000F63FD"/>
    <w:rsid w:val="00102F4F"/>
    <w:rsid w:val="00103CAD"/>
    <w:rsid w:val="00103D44"/>
    <w:rsid w:val="00104862"/>
    <w:rsid w:val="00104CC0"/>
    <w:rsid w:val="001062A1"/>
    <w:rsid w:val="0011007B"/>
    <w:rsid w:val="00111E48"/>
    <w:rsid w:val="00112782"/>
    <w:rsid w:val="001142D8"/>
    <w:rsid w:val="00114959"/>
    <w:rsid w:val="00115557"/>
    <w:rsid w:val="00117E2E"/>
    <w:rsid w:val="00120042"/>
    <w:rsid w:val="00121449"/>
    <w:rsid w:val="00121494"/>
    <w:rsid w:val="00125109"/>
    <w:rsid w:val="001252DC"/>
    <w:rsid w:val="00142080"/>
    <w:rsid w:val="001454C8"/>
    <w:rsid w:val="00145FF5"/>
    <w:rsid w:val="001475BC"/>
    <w:rsid w:val="0014763C"/>
    <w:rsid w:val="00147D81"/>
    <w:rsid w:val="001501B0"/>
    <w:rsid w:val="0015184F"/>
    <w:rsid w:val="001527EB"/>
    <w:rsid w:val="001550F4"/>
    <w:rsid w:val="0015551A"/>
    <w:rsid w:val="00155EBC"/>
    <w:rsid w:val="0015618C"/>
    <w:rsid w:val="00156AE1"/>
    <w:rsid w:val="00160DE4"/>
    <w:rsid w:val="00160EBE"/>
    <w:rsid w:val="0016169B"/>
    <w:rsid w:val="00162453"/>
    <w:rsid w:val="001625DC"/>
    <w:rsid w:val="00165470"/>
    <w:rsid w:val="00165ABE"/>
    <w:rsid w:val="001663A5"/>
    <w:rsid w:val="00166F18"/>
    <w:rsid w:val="0017028E"/>
    <w:rsid w:val="00170ED9"/>
    <w:rsid w:val="00174388"/>
    <w:rsid w:val="00174D25"/>
    <w:rsid w:val="00176A00"/>
    <w:rsid w:val="001770A8"/>
    <w:rsid w:val="00181865"/>
    <w:rsid w:val="001823B9"/>
    <w:rsid w:val="00183099"/>
    <w:rsid w:val="00184D05"/>
    <w:rsid w:val="00187870"/>
    <w:rsid w:val="00190B36"/>
    <w:rsid w:val="001930C4"/>
    <w:rsid w:val="00193F9E"/>
    <w:rsid w:val="0019552D"/>
    <w:rsid w:val="00196864"/>
    <w:rsid w:val="0019725C"/>
    <w:rsid w:val="001A1609"/>
    <w:rsid w:val="001A1B5E"/>
    <w:rsid w:val="001A2A7D"/>
    <w:rsid w:val="001A428E"/>
    <w:rsid w:val="001A52F9"/>
    <w:rsid w:val="001A62C8"/>
    <w:rsid w:val="001A70B5"/>
    <w:rsid w:val="001A76D0"/>
    <w:rsid w:val="001B0C58"/>
    <w:rsid w:val="001B2419"/>
    <w:rsid w:val="001B3C8F"/>
    <w:rsid w:val="001B3D54"/>
    <w:rsid w:val="001B4B52"/>
    <w:rsid w:val="001B4FFD"/>
    <w:rsid w:val="001B60A2"/>
    <w:rsid w:val="001B612B"/>
    <w:rsid w:val="001B7DEC"/>
    <w:rsid w:val="001C0F9F"/>
    <w:rsid w:val="001C2A30"/>
    <w:rsid w:val="001C2A56"/>
    <w:rsid w:val="001C37BD"/>
    <w:rsid w:val="001C3D2F"/>
    <w:rsid w:val="001C50C5"/>
    <w:rsid w:val="001C6190"/>
    <w:rsid w:val="001C630E"/>
    <w:rsid w:val="001C680D"/>
    <w:rsid w:val="001D067F"/>
    <w:rsid w:val="001D1461"/>
    <w:rsid w:val="001D283B"/>
    <w:rsid w:val="001D5449"/>
    <w:rsid w:val="001D55D2"/>
    <w:rsid w:val="001D6CB4"/>
    <w:rsid w:val="001E0865"/>
    <w:rsid w:val="001E2A94"/>
    <w:rsid w:val="001E2C64"/>
    <w:rsid w:val="001E325C"/>
    <w:rsid w:val="001E4AF3"/>
    <w:rsid w:val="001E5E5E"/>
    <w:rsid w:val="001E6CF3"/>
    <w:rsid w:val="001E70CB"/>
    <w:rsid w:val="001E770A"/>
    <w:rsid w:val="001E7851"/>
    <w:rsid w:val="001E7DB8"/>
    <w:rsid w:val="001F17DB"/>
    <w:rsid w:val="001F2093"/>
    <w:rsid w:val="001F2B2A"/>
    <w:rsid w:val="001F2F1C"/>
    <w:rsid w:val="001F38B7"/>
    <w:rsid w:val="001F4356"/>
    <w:rsid w:val="001F5E2E"/>
    <w:rsid w:val="001F63E1"/>
    <w:rsid w:val="001F7C4C"/>
    <w:rsid w:val="001F7F4F"/>
    <w:rsid w:val="00200635"/>
    <w:rsid w:val="002060CE"/>
    <w:rsid w:val="00207501"/>
    <w:rsid w:val="00207BE6"/>
    <w:rsid w:val="00211D49"/>
    <w:rsid w:val="002128E6"/>
    <w:rsid w:val="00213ADA"/>
    <w:rsid w:val="002158F3"/>
    <w:rsid w:val="002168E7"/>
    <w:rsid w:val="00217109"/>
    <w:rsid w:val="0022109E"/>
    <w:rsid w:val="002217DD"/>
    <w:rsid w:val="00223161"/>
    <w:rsid w:val="00223631"/>
    <w:rsid w:val="00224B66"/>
    <w:rsid w:val="00225354"/>
    <w:rsid w:val="0023013F"/>
    <w:rsid w:val="002322B9"/>
    <w:rsid w:val="00234224"/>
    <w:rsid w:val="00234E3B"/>
    <w:rsid w:val="002352BE"/>
    <w:rsid w:val="00235C73"/>
    <w:rsid w:val="0024075D"/>
    <w:rsid w:val="00241B9F"/>
    <w:rsid w:val="00243ED6"/>
    <w:rsid w:val="00244E3D"/>
    <w:rsid w:val="00247E6C"/>
    <w:rsid w:val="0025106A"/>
    <w:rsid w:val="002510FC"/>
    <w:rsid w:val="002548A5"/>
    <w:rsid w:val="00255202"/>
    <w:rsid w:val="0025596B"/>
    <w:rsid w:val="00255BEA"/>
    <w:rsid w:val="002642E3"/>
    <w:rsid w:val="00266830"/>
    <w:rsid w:val="00266A45"/>
    <w:rsid w:val="002721D3"/>
    <w:rsid w:val="00272C80"/>
    <w:rsid w:val="00274454"/>
    <w:rsid w:val="00274D10"/>
    <w:rsid w:val="00274F6B"/>
    <w:rsid w:val="0028106C"/>
    <w:rsid w:val="002812A9"/>
    <w:rsid w:val="00281976"/>
    <w:rsid w:val="00283154"/>
    <w:rsid w:val="002844FF"/>
    <w:rsid w:val="002846EB"/>
    <w:rsid w:val="002848C4"/>
    <w:rsid w:val="002861FE"/>
    <w:rsid w:val="00292669"/>
    <w:rsid w:val="00293A97"/>
    <w:rsid w:val="00294559"/>
    <w:rsid w:val="002967F9"/>
    <w:rsid w:val="00296958"/>
    <w:rsid w:val="002A3D39"/>
    <w:rsid w:val="002A4507"/>
    <w:rsid w:val="002A4A7D"/>
    <w:rsid w:val="002A4B17"/>
    <w:rsid w:val="002A53A8"/>
    <w:rsid w:val="002A543C"/>
    <w:rsid w:val="002A5BBF"/>
    <w:rsid w:val="002A6653"/>
    <w:rsid w:val="002B1635"/>
    <w:rsid w:val="002B1D40"/>
    <w:rsid w:val="002B37DF"/>
    <w:rsid w:val="002B48AB"/>
    <w:rsid w:val="002B6223"/>
    <w:rsid w:val="002B65FD"/>
    <w:rsid w:val="002B691E"/>
    <w:rsid w:val="002B7A6D"/>
    <w:rsid w:val="002B7BEF"/>
    <w:rsid w:val="002C1831"/>
    <w:rsid w:val="002C1A28"/>
    <w:rsid w:val="002C1BBC"/>
    <w:rsid w:val="002C1F9D"/>
    <w:rsid w:val="002C26D8"/>
    <w:rsid w:val="002C326E"/>
    <w:rsid w:val="002C3BE8"/>
    <w:rsid w:val="002C4432"/>
    <w:rsid w:val="002C4B27"/>
    <w:rsid w:val="002C597C"/>
    <w:rsid w:val="002C6758"/>
    <w:rsid w:val="002C7B60"/>
    <w:rsid w:val="002D011E"/>
    <w:rsid w:val="002D0B30"/>
    <w:rsid w:val="002D2294"/>
    <w:rsid w:val="002D2D3D"/>
    <w:rsid w:val="002D2DEC"/>
    <w:rsid w:val="002D45E4"/>
    <w:rsid w:val="002D5DBF"/>
    <w:rsid w:val="002D6094"/>
    <w:rsid w:val="002D68DC"/>
    <w:rsid w:val="002D74CE"/>
    <w:rsid w:val="002E29B9"/>
    <w:rsid w:val="002E4864"/>
    <w:rsid w:val="002E4873"/>
    <w:rsid w:val="002E48ED"/>
    <w:rsid w:val="002E5BB2"/>
    <w:rsid w:val="002E5F32"/>
    <w:rsid w:val="002E653A"/>
    <w:rsid w:val="002E6E19"/>
    <w:rsid w:val="002E783A"/>
    <w:rsid w:val="002E7D4B"/>
    <w:rsid w:val="002F31E6"/>
    <w:rsid w:val="002F5663"/>
    <w:rsid w:val="002F7CB7"/>
    <w:rsid w:val="00300FE2"/>
    <w:rsid w:val="00302974"/>
    <w:rsid w:val="003044D2"/>
    <w:rsid w:val="00305A41"/>
    <w:rsid w:val="00306A24"/>
    <w:rsid w:val="003075C9"/>
    <w:rsid w:val="003076E8"/>
    <w:rsid w:val="003112B9"/>
    <w:rsid w:val="00314341"/>
    <w:rsid w:val="0031438E"/>
    <w:rsid w:val="0031533B"/>
    <w:rsid w:val="00315D4F"/>
    <w:rsid w:val="00317665"/>
    <w:rsid w:val="00321029"/>
    <w:rsid w:val="00326A56"/>
    <w:rsid w:val="003278FD"/>
    <w:rsid w:val="00327C16"/>
    <w:rsid w:val="00327C8B"/>
    <w:rsid w:val="00333D84"/>
    <w:rsid w:val="0033478F"/>
    <w:rsid w:val="00335C81"/>
    <w:rsid w:val="00337B89"/>
    <w:rsid w:val="00340C78"/>
    <w:rsid w:val="00343675"/>
    <w:rsid w:val="00343E61"/>
    <w:rsid w:val="00343FD9"/>
    <w:rsid w:val="00344621"/>
    <w:rsid w:val="00344B48"/>
    <w:rsid w:val="003452F9"/>
    <w:rsid w:val="00350B43"/>
    <w:rsid w:val="00350E13"/>
    <w:rsid w:val="00350F9C"/>
    <w:rsid w:val="00351328"/>
    <w:rsid w:val="003514D1"/>
    <w:rsid w:val="0035185A"/>
    <w:rsid w:val="003545F3"/>
    <w:rsid w:val="00354F89"/>
    <w:rsid w:val="00357228"/>
    <w:rsid w:val="00360FA1"/>
    <w:rsid w:val="00362773"/>
    <w:rsid w:val="003642CE"/>
    <w:rsid w:val="003642EC"/>
    <w:rsid w:val="0036650F"/>
    <w:rsid w:val="00370848"/>
    <w:rsid w:val="00372066"/>
    <w:rsid w:val="0037264D"/>
    <w:rsid w:val="00373C6C"/>
    <w:rsid w:val="00374333"/>
    <w:rsid w:val="00375130"/>
    <w:rsid w:val="00375F8E"/>
    <w:rsid w:val="00377210"/>
    <w:rsid w:val="00377781"/>
    <w:rsid w:val="0038021B"/>
    <w:rsid w:val="00384C16"/>
    <w:rsid w:val="00387DCD"/>
    <w:rsid w:val="003903C3"/>
    <w:rsid w:val="003905DB"/>
    <w:rsid w:val="003917FB"/>
    <w:rsid w:val="00391A82"/>
    <w:rsid w:val="00393765"/>
    <w:rsid w:val="003953D3"/>
    <w:rsid w:val="003A49A5"/>
    <w:rsid w:val="003A6740"/>
    <w:rsid w:val="003B0385"/>
    <w:rsid w:val="003B4B9E"/>
    <w:rsid w:val="003B5AC5"/>
    <w:rsid w:val="003B5E97"/>
    <w:rsid w:val="003B6125"/>
    <w:rsid w:val="003B6A3B"/>
    <w:rsid w:val="003B7A54"/>
    <w:rsid w:val="003C11FB"/>
    <w:rsid w:val="003C225B"/>
    <w:rsid w:val="003C26CF"/>
    <w:rsid w:val="003C2F55"/>
    <w:rsid w:val="003C35B2"/>
    <w:rsid w:val="003C53C7"/>
    <w:rsid w:val="003C6BD5"/>
    <w:rsid w:val="003D2178"/>
    <w:rsid w:val="003D39D0"/>
    <w:rsid w:val="003D5B0E"/>
    <w:rsid w:val="003D78BB"/>
    <w:rsid w:val="003D7C98"/>
    <w:rsid w:val="003E1B27"/>
    <w:rsid w:val="003E4006"/>
    <w:rsid w:val="003E48C2"/>
    <w:rsid w:val="003E57A0"/>
    <w:rsid w:val="003E635D"/>
    <w:rsid w:val="003F0051"/>
    <w:rsid w:val="003F02A3"/>
    <w:rsid w:val="003F036F"/>
    <w:rsid w:val="003F1053"/>
    <w:rsid w:val="003F3B2A"/>
    <w:rsid w:val="003F57BC"/>
    <w:rsid w:val="003F6057"/>
    <w:rsid w:val="003F6196"/>
    <w:rsid w:val="003F65A1"/>
    <w:rsid w:val="0040049A"/>
    <w:rsid w:val="0040291B"/>
    <w:rsid w:val="00402B04"/>
    <w:rsid w:val="00404490"/>
    <w:rsid w:val="00405743"/>
    <w:rsid w:val="0040731D"/>
    <w:rsid w:val="0041123D"/>
    <w:rsid w:val="004138AA"/>
    <w:rsid w:val="004138F7"/>
    <w:rsid w:val="004142F2"/>
    <w:rsid w:val="004143FE"/>
    <w:rsid w:val="00415A72"/>
    <w:rsid w:val="0042343D"/>
    <w:rsid w:val="004235ED"/>
    <w:rsid w:val="00423A33"/>
    <w:rsid w:val="0042457E"/>
    <w:rsid w:val="00424637"/>
    <w:rsid w:val="00424C15"/>
    <w:rsid w:val="0042592F"/>
    <w:rsid w:val="00425A4E"/>
    <w:rsid w:val="0042638C"/>
    <w:rsid w:val="00427DC6"/>
    <w:rsid w:val="00430154"/>
    <w:rsid w:val="00431394"/>
    <w:rsid w:val="00431471"/>
    <w:rsid w:val="004318D2"/>
    <w:rsid w:val="00432B3A"/>
    <w:rsid w:val="00433DE1"/>
    <w:rsid w:val="00434672"/>
    <w:rsid w:val="004359FE"/>
    <w:rsid w:val="00436519"/>
    <w:rsid w:val="00437E7A"/>
    <w:rsid w:val="004403D8"/>
    <w:rsid w:val="00442AE5"/>
    <w:rsid w:val="00442BDD"/>
    <w:rsid w:val="004445F9"/>
    <w:rsid w:val="00446D6B"/>
    <w:rsid w:val="00446F74"/>
    <w:rsid w:val="00450567"/>
    <w:rsid w:val="0045188E"/>
    <w:rsid w:val="00453FD6"/>
    <w:rsid w:val="00454113"/>
    <w:rsid w:val="00454152"/>
    <w:rsid w:val="0045712A"/>
    <w:rsid w:val="004577CB"/>
    <w:rsid w:val="0046179D"/>
    <w:rsid w:val="00461951"/>
    <w:rsid w:val="0046273B"/>
    <w:rsid w:val="00463235"/>
    <w:rsid w:val="00463D87"/>
    <w:rsid w:val="004650ED"/>
    <w:rsid w:val="00465FDD"/>
    <w:rsid w:val="00466B09"/>
    <w:rsid w:val="004671A9"/>
    <w:rsid w:val="00467985"/>
    <w:rsid w:val="00467FE1"/>
    <w:rsid w:val="00473F0E"/>
    <w:rsid w:val="00474FEF"/>
    <w:rsid w:val="004761AE"/>
    <w:rsid w:val="0048053B"/>
    <w:rsid w:val="004822CB"/>
    <w:rsid w:val="004828A2"/>
    <w:rsid w:val="004840EF"/>
    <w:rsid w:val="0048425F"/>
    <w:rsid w:val="00485B56"/>
    <w:rsid w:val="004864F6"/>
    <w:rsid w:val="004874AA"/>
    <w:rsid w:val="00487E09"/>
    <w:rsid w:val="00490A1C"/>
    <w:rsid w:val="0049157B"/>
    <w:rsid w:val="0049199B"/>
    <w:rsid w:val="00492E1B"/>
    <w:rsid w:val="004933F0"/>
    <w:rsid w:val="00494EB1"/>
    <w:rsid w:val="004A01C8"/>
    <w:rsid w:val="004A1554"/>
    <w:rsid w:val="004A1A1C"/>
    <w:rsid w:val="004A2ADD"/>
    <w:rsid w:val="004A3BB7"/>
    <w:rsid w:val="004A431F"/>
    <w:rsid w:val="004A5212"/>
    <w:rsid w:val="004A6A2F"/>
    <w:rsid w:val="004B1CAA"/>
    <w:rsid w:val="004B2956"/>
    <w:rsid w:val="004B4D72"/>
    <w:rsid w:val="004B4E39"/>
    <w:rsid w:val="004B6A87"/>
    <w:rsid w:val="004C1D9B"/>
    <w:rsid w:val="004C255C"/>
    <w:rsid w:val="004C2842"/>
    <w:rsid w:val="004C356E"/>
    <w:rsid w:val="004C3929"/>
    <w:rsid w:val="004C4913"/>
    <w:rsid w:val="004C6269"/>
    <w:rsid w:val="004C64E0"/>
    <w:rsid w:val="004C6796"/>
    <w:rsid w:val="004D0203"/>
    <w:rsid w:val="004D1C28"/>
    <w:rsid w:val="004D6C0A"/>
    <w:rsid w:val="004E4238"/>
    <w:rsid w:val="004E6497"/>
    <w:rsid w:val="004E653E"/>
    <w:rsid w:val="004F06D3"/>
    <w:rsid w:val="004F1845"/>
    <w:rsid w:val="005006CA"/>
    <w:rsid w:val="00503458"/>
    <w:rsid w:val="0050483B"/>
    <w:rsid w:val="005059CC"/>
    <w:rsid w:val="00506BDE"/>
    <w:rsid w:val="00507045"/>
    <w:rsid w:val="005108B7"/>
    <w:rsid w:val="0051123F"/>
    <w:rsid w:val="005119FD"/>
    <w:rsid w:val="005126E6"/>
    <w:rsid w:val="0051366B"/>
    <w:rsid w:val="005155D5"/>
    <w:rsid w:val="005165AC"/>
    <w:rsid w:val="00516957"/>
    <w:rsid w:val="00522B23"/>
    <w:rsid w:val="00522E07"/>
    <w:rsid w:val="005251AC"/>
    <w:rsid w:val="00530B44"/>
    <w:rsid w:val="00531F22"/>
    <w:rsid w:val="00531F6B"/>
    <w:rsid w:val="00532036"/>
    <w:rsid w:val="0053350A"/>
    <w:rsid w:val="00534619"/>
    <w:rsid w:val="00534FF1"/>
    <w:rsid w:val="00535C0F"/>
    <w:rsid w:val="0053629D"/>
    <w:rsid w:val="00536923"/>
    <w:rsid w:val="00536BB3"/>
    <w:rsid w:val="00536C7C"/>
    <w:rsid w:val="00536CFA"/>
    <w:rsid w:val="00536FBC"/>
    <w:rsid w:val="00537013"/>
    <w:rsid w:val="00537B9E"/>
    <w:rsid w:val="00537F71"/>
    <w:rsid w:val="0054132A"/>
    <w:rsid w:val="0054196A"/>
    <w:rsid w:val="00542823"/>
    <w:rsid w:val="00544E3D"/>
    <w:rsid w:val="005454D6"/>
    <w:rsid w:val="00546549"/>
    <w:rsid w:val="005525C8"/>
    <w:rsid w:val="00554500"/>
    <w:rsid w:val="00555076"/>
    <w:rsid w:val="00555157"/>
    <w:rsid w:val="00556421"/>
    <w:rsid w:val="005572A4"/>
    <w:rsid w:val="0056270E"/>
    <w:rsid w:val="00562E81"/>
    <w:rsid w:val="00564A73"/>
    <w:rsid w:val="00567748"/>
    <w:rsid w:val="0056782C"/>
    <w:rsid w:val="00571237"/>
    <w:rsid w:val="005733A3"/>
    <w:rsid w:val="00574897"/>
    <w:rsid w:val="005749EE"/>
    <w:rsid w:val="00580E95"/>
    <w:rsid w:val="005813B3"/>
    <w:rsid w:val="0058188E"/>
    <w:rsid w:val="005822D0"/>
    <w:rsid w:val="00583F78"/>
    <w:rsid w:val="00584051"/>
    <w:rsid w:val="00585576"/>
    <w:rsid w:val="00585DE7"/>
    <w:rsid w:val="0058764B"/>
    <w:rsid w:val="00587C65"/>
    <w:rsid w:val="005916A5"/>
    <w:rsid w:val="00591D34"/>
    <w:rsid w:val="00592C69"/>
    <w:rsid w:val="005953A7"/>
    <w:rsid w:val="00595ACF"/>
    <w:rsid w:val="00596A3E"/>
    <w:rsid w:val="00596E67"/>
    <w:rsid w:val="0059759A"/>
    <w:rsid w:val="00597A44"/>
    <w:rsid w:val="005A27A8"/>
    <w:rsid w:val="005A2850"/>
    <w:rsid w:val="005A3822"/>
    <w:rsid w:val="005A3C4C"/>
    <w:rsid w:val="005B1C44"/>
    <w:rsid w:val="005B34F6"/>
    <w:rsid w:val="005B3E40"/>
    <w:rsid w:val="005B5233"/>
    <w:rsid w:val="005B613E"/>
    <w:rsid w:val="005B6BF5"/>
    <w:rsid w:val="005B6F9F"/>
    <w:rsid w:val="005C02A7"/>
    <w:rsid w:val="005C0B34"/>
    <w:rsid w:val="005C2C27"/>
    <w:rsid w:val="005C5C42"/>
    <w:rsid w:val="005C7994"/>
    <w:rsid w:val="005D0714"/>
    <w:rsid w:val="005D11DE"/>
    <w:rsid w:val="005D1CCA"/>
    <w:rsid w:val="005D4B42"/>
    <w:rsid w:val="005D4DEA"/>
    <w:rsid w:val="005D6BB6"/>
    <w:rsid w:val="005E140A"/>
    <w:rsid w:val="005E1CAF"/>
    <w:rsid w:val="005E226B"/>
    <w:rsid w:val="005E2D48"/>
    <w:rsid w:val="005E3687"/>
    <w:rsid w:val="005E37DF"/>
    <w:rsid w:val="005E6A7A"/>
    <w:rsid w:val="005E71B0"/>
    <w:rsid w:val="005E737E"/>
    <w:rsid w:val="005F0DA1"/>
    <w:rsid w:val="005F4A4A"/>
    <w:rsid w:val="005F56D5"/>
    <w:rsid w:val="005F5B8A"/>
    <w:rsid w:val="005F5F80"/>
    <w:rsid w:val="005F7729"/>
    <w:rsid w:val="00600EBB"/>
    <w:rsid w:val="00602423"/>
    <w:rsid w:val="00605C83"/>
    <w:rsid w:val="00606050"/>
    <w:rsid w:val="00606141"/>
    <w:rsid w:val="0060658E"/>
    <w:rsid w:val="00606C95"/>
    <w:rsid w:val="006078BA"/>
    <w:rsid w:val="00614C60"/>
    <w:rsid w:val="00614DAE"/>
    <w:rsid w:val="006160B7"/>
    <w:rsid w:val="00616A48"/>
    <w:rsid w:val="00617C73"/>
    <w:rsid w:val="00617FB7"/>
    <w:rsid w:val="006212C4"/>
    <w:rsid w:val="0062237E"/>
    <w:rsid w:val="00622C64"/>
    <w:rsid w:val="00623223"/>
    <w:rsid w:val="00623795"/>
    <w:rsid w:val="0062498A"/>
    <w:rsid w:val="006267CB"/>
    <w:rsid w:val="00630634"/>
    <w:rsid w:val="0063216D"/>
    <w:rsid w:val="0063335D"/>
    <w:rsid w:val="006333E1"/>
    <w:rsid w:val="00633410"/>
    <w:rsid w:val="0063481A"/>
    <w:rsid w:val="00634FE7"/>
    <w:rsid w:val="00635AAA"/>
    <w:rsid w:val="00635DB5"/>
    <w:rsid w:val="0063721E"/>
    <w:rsid w:val="00641683"/>
    <w:rsid w:val="0064216A"/>
    <w:rsid w:val="00645B42"/>
    <w:rsid w:val="0064712A"/>
    <w:rsid w:val="00647433"/>
    <w:rsid w:val="00650A77"/>
    <w:rsid w:val="00653F5C"/>
    <w:rsid w:val="00654AA8"/>
    <w:rsid w:val="00655565"/>
    <w:rsid w:val="00656791"/>
    <w:rsid w:val="006567CB"/>
    <w:rsid w:val="00656D86"/>
    <w:rsid w:val="006574E1"/>
    <w:rsid w:val="0066097E"/>
    <w:rsid w:val="00660A57"/>
    <w:rsid w:val="00662FDB"/>
    <w:rsid w:val="006636BC"/>
    <w:rsid w:val="00666B97"/>
    <w:rsid w:val="00667B79"/>
    <w:rsid w:val="00670DB0"/>
    <w:rsid w:val="0067214C"/>
    <w:rsid w:val="00672C3E"/>
    <w:rsid w:val="00672D94"/>
    <w:rsid w:val="0067301C"/>
    <w:rsid w:val="006766B9"/>
    <w:rsid w:val="0068097A"/>
    <w:rsid w:val="00680C96"/>
    <w:rsid w:val="00681155"/>
    <w:rsid w:val="006817B6"/>
    <w:rsid w:val="00683AB5"/>
    <w:rsid w:val="00684177"/>
    <w:rsid w:val="00686579"/>
    <w:rsid w:val="006867F8"/>
    <w:rsid w:val="00691ABA"/>
    <w:rsid w:val="00692709"/>
    <w:rsid w:val="00692F17"/>
    <w:rsid w:val="006951EB"/>
    <w:rsid w:val="00695DAF"/>
    <w:rsid w:val="006974C0"/>
    <w:rsid w:val="006A11A9"/>
    <w:rsid w:val="006A142B"/>
    <w:rsid w:val="006A24A3"/>
    <w:rsid w:val="006A4377"/>
    <w:rsid w:val="006A4DD1"/>
    <w:rsid w:val="006A5265"/>
    <w:rsid w:val="006A57F2"/>
    <w:rsid w:val="006A5DA0"/>
    <w:rsid w:val="006A6205"/>
    <w:rsid w:val="006A7491"/>
    <w:rsid w:val="006A768A"/>
    <w:rsid w:val="006B0544"/>
    <w:rsid w:val="006B141F"/>
    <w:rsid w:val="006B26B7"/>
    <w:rsid w:val="006B2719"/>
    <w:rsid w:val="006B374F"/>
    <w:rsid w:val="006B6F3F"/>
    <w:rsid w:val="006B7154"/>
    <w:rsid w:val="006B744D"/>
    <w:rsid w:val="006B7819"/>
    <w:rsid w:val="006C2292"/>
    <w:rsid w:val="006C3740"/>
    <w:rsid w:val="006C404A"/>
    <w:rsid w:val="006C6C2A"/>
    <w:rsid w:val="006C6C3D"/>
    <w:rsid w:val="006C6E11"/>
    <w:rsid w:val="006C70B4"/>
    <w:rsid w:val="006C7727"/>
    <w:rsid w:val="006C7740"/>
    <w:rsid w:val="006D2ECC"/>
    <w:rsid w:val="006D3604"/>
    <w:rsid w:val="006D3B14"/>
    <w:rsid w:val="006D3BD9"/>
    <w:rsid w:val="006D3DD3"/>
    <w:rsid w:val="006D4121"/>
    <w:rsid w:val="006D5636"/>
    <w:rsid w:val="006D73C9"/>
    <w:rsid w:val="006E0DD0"/>
    <w:rsid w:val="006E1516"/>
    <w:rsid w:val="006E3135"/>
    <w:rsid w:val="006E33DA"/>
    <w:rsid w:val="006E4D45"/>
    <w:rsid w:val="006E4E87"/>
    <w:rsid w:val="006E4FF7"/>
    <w:rsid w:val="006E5B49"/>
    <w:rsid w:val="006E7198"/>
    <w:rsid w:val="006E72E8"/>
    <w:rsid w:val="006E7891"/>
    <w:rsid w:val="006E7914"/>
    <w:rsid w:val="006F4C25"/>
    <w:rsid w:val="006F7337"/>
    <w:rsid w:val="006F767F"/>
    <w:rsid w:val="007008E6"/>
    <w:rsid w:val="0070294A"/>
    <w:rsid w:val="00703101"/>
    <w:rsid w:val="0070325E"/>
    <w:rsid w:val="0070355E"/>
    <w:rsid w:val="007035A1"/>
    <w:rsid w:val="007035CE"/>
    <w:rsid w:val="0070554C"/>
    <w:rsid w:val="00705C57"/>
    <w:rsid w:val="0070624A"/>
    <w:rsid w:val="00707F14"/>
    <w:rsid w:val="0071124B"/>
    <w:rsid w:val="0071376F"/>
    <w:rsid w:val="00714418"/>
    <w:rsid w:val="007145A4"/>
    <w:rsid w:val="0071475E"/>
    <w:rsid w:val="007148C7"/>
    <w:rsid w:val="00714A1F"/>
    <w:rsid w:val="0071527B"/>
    <w:rsid w:val="0071536B"/>
    <w:rsid w:val="00715CC2"/>
    <w:rsid w:val="00716426"/>
    <w:rsid w:val="00716ABE"/>
    <w:rsid w:val="007202F4"/>
    <w:rsid w:val="007203E4"/>
    <w:rsid w:val="00720586"/>
    <w:rsid w:val="007211F1"/>
    <w:rsid w:val="007220DB"/>
    <w:rsid w:val="00723E95"/>
    <w:rsid w:val="00725899"/>
    <w:rsid w:val="00726232"/>
    <w:rsid w:val="0072771D"/>
    <w:rsid w:val="00730D91"/>
    <w:rsid w:val="00730EEF"/>
    <w:rsid w:val="00731AA8"/>
    <w:rsid w:val="00731DB4"/>
    <w:rsid w:val="0073250D"/>
    <w:rsid w:val="007327C7"/>
    <w:rsid w:val="0073370F"/>
    <w:rsid w:val="00734F71"/>
    <w:rsid w:val="00735247"/>
    <w:rsid w:val="00736D7E"/>
    <w:rsid w:val="00742F7D"/>
    <w:rsid w:val="00743933"/>
    <w:rsid w:val="007472DD"/>
    <w:rsid w:val="00747634"/>
    <w:rsid w:val="00750728"/>
    <w:rsid w:val="0075695A"/>
    <w:rsid w:val="00760B00"/>
    <w:rsid w:val="00762EE5"/>
    <w:rsid w:val="00763F89"/>
    <w:rsid w:val="007642A7"/>
    <w:rsid w:val="00764A15"/>
    <w:rsid w:val="00766D62"/>
    <w:rsid w:val="0077039D"/>
    <w:rsid w:val="00770790"/>
    <w:rsid w:val="00770A37"/>
    <w:rsid w:val="00772E04"/>
    <w:rsid w:val="0077368A"/>
    <w:rsid w:val="007739F1"/>
    <w:rsid w:val="00774BEE"/>
    <w:rsid w:val="0077646D"/>
    <w:rsid w:val="0077776A"/>
    <w:rsid w:val="0078038A"/>
    <w:rsid w:val="00780A48"/>
    <w:rsid w:val="00781D0D"/>
    <w:rsid w:val="00781E45"/>
    <w:rsid w:val="007827CF"/>
    <w:rsid w:val="00783C46"/>
    <w:rsid w:val="007857BE"/>
    <w:rsid w:val="00786A36"/>
    <w:rsid w:val="00786BB5"/>
    <w:rsid w:val="007922AF"/>
    <w:rsid w:val="00792F6F"/>
    <w:rsid w:val="00793464"/>
    <w:rsid w:val="00795EC1"/>
    <w:rsid w:val="0079756B"/>
    <w:rsid w:val="00797C1E"/>
    <w:rsid w:val="007A09A1"/>
    <w:rsid w:val="007A0D00"/>
    <w:rsid w:val="007A2946"/>
    <w:rsid w:val="007A3EF5"/>
    <w:rsid w:val="007A4A58"/>
    <w:rsid w:val="007A5546"/>
    <w:rsid w:val="007A587B"/>
    <w:rsid w:val="007A6850"/>
    <w:rsid w:val="007A6F68"/>
    <w:rsid w:val="007B11FE"/>
    <w:rsid w:val="007B157B"/>
    <w:rsid w:val="007B1803"/>
    <w:rsid w:val="007B1CC4"/>
    <w:rsid w:val="007B352B"/>
    <w:rsid w:val="007B49B0"/>
    <w:rsid w:val="007B5658"/>
    <w:rsid w:val="007B6A1A"/>
    <w:rsid w:val="007B6C18"/>
    <w:rsid w:val="007B76D7"/>
    <w:rsid w:val="007C0D64"/>
    <w:rsid w:val="007C14B5"/>
    <w:rsid w:val="007C20BB"/>
    <w:rsid w:val="007C2265"/>
    <w:rsid w:val="007C2C11"/>
    <w:rsid w:val="007C2D7F"/>
    <w:rsid w:val="007C6121"/>
    <w:rsid w:val="007D09FB"/>
    <w:rsid w:val="007D194C"/>
    <w:rsid w:val="007D32C8"/>
    <w:rsid w:val="007D67D0"/>
    <w:rsid w:val="007D7B28"/>
    <w:rsid w:val="007E116E"/>
    <w:rsid w:val="007E17BF"/>
    <w:rsid w:val="007E1E12"/>
    <w:rsid w:val="007E4B88"/>
    <w:rsid w:val="007E5385"/>
    <w:rsid w:val="007E5DB2"/>
    <w:rsid w:val="007E69FA"/>
    <w:rsid w:val="007E75E2"/>
    <w:rsid w:val="007F04D5"/>
    <w:rsid w:val="007F0504"/>
    <w:rsid w:val="007F10D9"/>
    <w:rsid w:val="007F13A4"/>
    <w:rsid w:val="007F1634"/>
    <w:rsid w:val="007F215A"/>
    <w:rsid w:val="007F2688"/>
    <w:rsid w:val="007F2DA6"/>
    <w:rsid w:val="007F3D5F"/>
    <w:rsid w:val="007F45CF"/>
    <w:rsid w:val="007F5643"/>
    <w:rsid w:val="007F6FB8"/>
    <w:rsid w:val="00803F9E"/>
    <w:rsid w:val="00804A72"/>
    <w:rsid w:val="00805AD3"/>
    <w:rsid w:val="00806509"/>
    <w:rsid w:val="00806DDB"/>
    <w:rsid w:val="00806F34"/>
    <w:rsid w:val="00807094"/>
    <w:rsid w:val="00807F56"/>
    <w:rsid w:val="00811AF0"/>
    <w:rsid w:val="00812192"/>
    <w:rsid w:val="008122E9"/>
    <w:rsid w:val="0081280B"/>
    <w:rsid w:val="00815061"/>
    <w:rsid w:val="008170DD"/>
    <w:rsid w:val="00822BAA"/>
    <w:rsid w:val="00824153"/>
    <w:rsid w:val="00825BBD"/>
    <w:rsid w:val="0082755B"/>
    <w:rsid w:val="00827B15"/>
    <w:rsid w:val="00830BF7"/>
    <w:rsid w:val="0083101D"/>
    <w:rsid w:val="008334E1"/>
    <w:rsid w:val="00833787"/>
    <w:rsid w:val="00833B67"/>
    <w:rsid w:val="008357E8"/>
    <w:rsid w:val="00835E52"/>
    <w:rsid w:val="00840D7F"/>
    <w:rsid w:val="008410C3"/>
    <w:rsid w:val="0084386C"/>
    <w:rsid w:val="00843DFD"/>
    <w:rsid w:val="00843FAF"/>
    <w:rsid w:val="00844F03"/>
    <w:rsid w:val="008452FE"/>
    <w:rsid w:val="00846901"/>
    <w:rsid w:val="008504DB"/>
    <w:rsid w:val="008511A0"/>
    <w:rsid w:val="00851A8B"/>
    <w:rsid w:val="008523D3"/>
    <w:rsid w:val="008539B4"/>
    <w:rsid w:val="0085567B"/>
    <w:rsid w:val="008565FF"/>
    <w:rsid w:val="008570C2"/>
    <w:rsid w:val="00857FB9"/>
    <w:rsid w:val="00861378"/>
    <w:rsid w:val="00861B0D"/>
    <w:rsid w:val="00861FAE"/>
    <w:rsid w:val="008636A2"/>
    <w:rsid w:val="00864056"/>
    <w:rsid w:val="00864876"/>
    <w:rsid w:val="008649C9"/>
    <w:rsid w:val="00865367"/>
    <w:rsid w:val="008655F5"/>
    <w:rsid w:val="0087246F"/>
    <w:rsid w:val="00872928"/>
    <w:rsid w:val="00874038"/>
    <w:rsid w:val="00874718"/>
    <w:rsid w:val="0087631C"/>
    <w:rsid w:val="00877081"/>
    <w:rsid w:val="008771BD"/>
    <w:rsid w:val="008816FD"/>
    <w:rsid w:val="00882C78"/>
    <w:rsid w:val="008872FF"/>
    <w:rsid w:val="00887AB6"/>
    <w:rsid w:val="00892436"/>
    <w:rsid w:val="0089259F"/>
    <w:rsid w:val="00893675"/>
    <w:rsid w:val="008A07BF"/>
    <w:rsid w:val="008A1A19"/>
    <w:rsid w:val="008A26A2"/>
    <w:rsid w:val="008A3DAC"/>
    <w:rsid w:val="008A5076"/>
    <w:rsid w:val="008A54BA"/>
    <w:rsid w:val="008A6443"/>
    <w:rsid w:val="008A6529"/>
    <w:rsid w:val="008B146E"/>
    <w:rsid w:val="008B1DB2"/>
    <w:rsid w:val="008B21E3"/>
    <w:rsid w:val="008B4B49"/>
    <w:rsid w:val="008B560D"/>
    <w:rsid w:val="008B592D"/>
    <w:rsid w:val="008B59D9"/>
    <w:rsid w:val="008B5A86"/>
    <w:rsid w:val="008B7D78"/>
    <w:rsid w:val="008C00D7"/>
    <w:rsid w:val="008C1F1C"/>
    <w:rsid w:val="008C5DC7"/>
    <w:rsid w:val="008D18E9"/>
    <w:rsid w:val="008D1BA5"/>
    <w:rsid w:val="008D25F9"/>
    <w:rsid w:val="008D2B7C"/>
    <w:rsid w:val="008D2DB7"/>
    <w:rsid w:val="008D3273"/>
    <w:rsid w:val="008D3A5B"/>
    <w:rsid w:val="008D3F78"/>
    <w:rsid w:val="008D4343"/>
    <w:rsid w:val="008D680D"/>
    <w:rsid w:val="008D76F4"/>
    <w:rsid w:val="008D77B3"/>
    <w:rsid w:val="008D7AAC"/>
    <w:rsid w:val="008E000A"/>
    <w:rsid w:val="008E0562"/>
    <w:rsid w:val="008E12B6"/>
    <w:rsid w:val="008E39DA"/>
    <w:rsid w:val="008E3B94"/>
    <w:rsid w:val="008E6C9A"/>
    <w:rsid w:val="008E7E5B"/>
    <w:rsid w:val="008F0960"/>
    <w:rsid w:val="008F182D"/>
    <w:rsid w:val="008F197E"/>
    <w:rsid w:val="008F1BDA"/>
    <w:rsid w:val="008F2848"/>
    <w:rsid w:val="008F455D"/>
    <w:rsid w:val="008F685A"/>
    <w:rsid w:val="008F69F4"/>
    <w:rsid w:val="00901AD6"/>
    <w:rsid w:val="009029B5"/>
    <w:rsid w:val="00902A6E"/>
    <w:rsid w:val="00903012"/>
    <w:rsid w:val="00904FAD"/>
    <w:rsid w:val="00905725"/>
    <w:rsid w:val="00905727"/>
    <w:rsid w:val="009060A2"/>
    <w:rsid w:val="009064B9"/>
    <w:rsid w:val="009069F8"/>
    <w:rsid w:val="0091102D"/>
    <w:rsid w:val="00911557"/>
    <w:rsid w:val="009126A5"/>
    <w:rsid w:val="009161AE"/>
    <w:rsid w:val="00916ED0"/>
    <w:rsid w:val="0092099A"/>
    <w:rsid w:val="00920CD8"/>
    <w:rsid w:val="009213B9"/>
    <w:rsid w:val="009220F4"/>
    <w:rsid w:val="00922A63"/>
    <w:rsid w:val="009238FA"/>
    <w:rsid w:val="00925557"/>
    <w:rsid w:val="0093494F"/>
    <w:rsid w:val="00934B18"/>
    <w:rsid w:val="00941EA3"/>
    <w:rsid w:val="0094296B"/>
    <w:rsid w:val="00945C2C"/>
    <w:rsid w:val="009505AF"/>
    <w:rsid w:val="009507B1"/>
    <w:rsid w:val="00952A4B"/>
    <w:rsid w:val="00953165"/>
    <w:rsid w:val="009555E8"/>
    <w:rsid w:val="0095626D"/>
    <w:rsid w:val="00957DF6"/>
    <w:rsid w:val="00962B35"/>
    <w:rsid w:val="0096582F"/>
    <w:rsid w:val="009670D8"/>
    <w:rsid w:val="00967911"/>
    <w:rsid w:val="009708FF"/>
    <w:rsid w:val="009712F2"/>
    <w:rsid w:val="00971AC6"/>
    <w:rsid w:val="00972BA5"/>
    <w:rsid w:val="00973942"/>
    <w:rsid w:val="00974D9F"/>
    <w:rsid w:val="00975116"/>
    <w:rsid w:val="009754A2"/>
    <w:rsid w:val="009818D0"/>
    <w:rsid w:val="00981B70"/>
    <w:rsid w:val="0098328A"/>
    <w:rsid w:val="00983C9A"/>
    <w:rsid w:val="00983D47"/>
    <w:rsid w:val="00983D56"/>
    <w:rsid w:val="009841B6"/>
    <w:rsid w:val="00984271"/>
    <w:rsid w:val="0098572C"/>
    <w:rsid w:val="00986AF4"/>
    <w:rsid w:val="00986B21"/>
    <w:rsid w:val="00987808"/>
    <w:rsid w:val="009913E3"/>
    <w:rsid w:val="00992CDE"/>
    <w:rsid w:val="00992EA6"/>
    <w:rsid w:val="00992F04"/>
    <w:rsid w:val="00994A78"/>
    <w:rsid w:val="00995568"/>
    <w:rsid w:val="00995AF9"/>
    <w:rsid w:val="00995CED"/>
    <w:rsid w:val="00996CF1"/>
    <w:rsid w:val="0099762D"/>
    <w:rsid w:val="009A03F7"/>
    <w:rsid w:val="009A0C20"/>
    <w:rsid w:val="009A4B77"/>
    <w:rsid w:val="009A5111"/>
    <w:rsid w:val="009A6544"/>
    <w:rsid w:val="009A74F3"/>
    <w:rsid w:val="009A7D2C"/>
    <w:rsid w:val="009B0CFE"/>
    <w:rsid w:val="009B21E5"/>
    <w:rsid w:val="009B4066"/>
    <w:rsid w:val="009B42D0"/>
    <w:rsid w:val="009B4E8F"/>
    <w:rsid w:val="009C0664"/>
    <w:rsid w:val="009C06CA"/>
    <w:rsid w:val="009C0EDE"/>
    <w:rsid w:val="009C36FA"/>
    <w:rsid w:val="009C4334"/>
    <w:rsid w:val="009C47EB"/>
    <w:rsid w:val="009C4D30"/>
    <w:rsid w:val="009C79F8"/>
    <w:rsid w:val="009D0CE3"/>
    <w:rsid w:val="009D107A"/>
    <w:rsid w:val="009D2DE9"/>
    <w:rsid w:val="009D3CD4"/>
    <w:rsid w:val="009D3DC2"/>
    <w:rsid w:val="009D4EDC"/>
    <w:rsid w:val="009D51ED"/>
    <w:rsid w:val="009D6201"/>
    <w:rsid w:val="009D6A64"/>
    <w:rsid w:val="009E2622"/>
    <w:rsid w:val="009E321A"/>
    <w:rsid w:val="009E3E37"/>
    <w:rsid w:val="009E40A8"/>
    <w:rsid w:val="009E58F3"/>
    <w:rsid w:val="009E664F"/>
    <w:rsid w:val="009E6945"/>
    <w:rsid w:val="009E6C09"/>
    <w:rsid w:val="009E6C37"/>
    <w:rsid w:val="009E7A72"/>
    <w:rsid w:val="009F1AEC"/>
    <w:rsid w:val="009F3221"/>
    <w:rsid w:val="009F4B18"/>
    <w:rsid w:val="009F4C20"/>
    <w:rsid w:val="009F50A4"/>
    <w:rsid w:val="009F5B4D"/>
    <w:rsid w:val="009F6B8A"/>
    <w:rsid w:val="00A00071"/>
    <w:rsid w:val="00A00D55"/>
    <w:rsid w:val="00A01A22"/>
    <w:rsid w:val="00A028A0"/>
    <w:rsid w:val="00A0408D"/>
    <w:rsid w:val="00A04DE9"/>
    <w:rsid w:val="00A05980"/>
    <w:rsid w:val="00A060D3"/>
    <w:rsid w:val="00A06CE9"/>
    <w:rsid w:val="00A10040"/>
    <w:rsid w:val="00A10D5B"/>
    <w:rsid w:val="00A113A5"/>
    <w:rsid w:val="00A13FC9"/>
    <w:rsid w:val="00A15A9E"/>
    <w:rsid w:val="00A17EDF"/>
    <w:rsid w:val="00A20F00"/>
    <w:rsid w:val="00A231B5"/>
    <w:rsid w:val="00A24E19"/>
    <w:rsid w:val="00A2659E"/>
    <w:rsid w:val="00A27960"/>
    <w:rsid w:val="00A30905"/>
    <w:rsid w:val="00A31705"/>
    <w:rsid w:val="00A31B3C"/>
    <w:rsid w:val="00A325DA"/>
    <w:rsid w:val="00A3332E"/>
    <w:rsid w:val="00A33CD1"/>
    <w:rsid w:val="00A33E54"/>
    <w:rsid w:val="00A45384"/>
    <w:rsid w:val="00A50210"/>
    <w:rsid w:val="00A5068C"/>
    <w:rsid w:val="00A50F83"/>
    <w:rsid w:val="00A51B4A"/>
    <w:rsid w:val="00A51D21"/>
    <w:rsid w:val="00A51DDC"/>
    <w:rsid w:val="00A56162"/>
    <w:rsid w:val="00A574DB"/>
    <w:rsid w:val="00A61C8E"/>
    <w:rsid w:val="00A625FB"/>
    <w:rsid w:val="00A643DE"/>
    <w:rsid w:val="00A6469D"/>
    <w:rsid w:val="00A6559F"/>
    <w:rsid w:val="00A66018"/>
    <w:rsid w:val="00A66AC4"/>
    <w:rsid w:val="00A70159"/>
    <w:rsid w:val="00A70407"/>
    <w:rsid w:val="00A71573"/>
    <w:rsid w:val="00A72169"/>
    <w:rsid w:val="00A72D17"/>
    <w:rsid w:val="00A733A9"/>
    <w:rsid w:val="00A74246"/>
    <w:rsid w:val="00A751B8"/>
    <w:rsid w:val="00A76BE3"/>
    <w:rsid w:val="00A77488"/>
    <w:rsid w:val="00A775AC"/>
    <w:rsid w:val="00A778C0"/>
    <w:rsid w:val="00A7791C"/>
    <w:rsid w:val="00A80783"/>
    <w:rsid w:val="00A81C5D"/>
    <w:rsid w:val="00A8208F"/>
    <w:rsid w:val="00A85998"/>
    <w:rsid w:val="00A86523"/>
    <w:rsid w:val="00A86543"/>
    <w:rsid w:val="00A92871"/>
    <w:rsid w:val="00A94464"/>
    <w:rsid w:val="00A951EC"/>
    <w:rsid w:val="00A97F14"/>
    <w:rsid w:val="00AA0138"/>
    <w:rsid w:val="00AA04E1"/>
    <w:rsid w:val="00AA13D6"/>
    <w:rsid w:val="00AA21CE"/>
    <w:rsid w:val="00AA560E"/>
    <w:rsid w:val="00AA586B"/>
    <w:rsid w:val="00AA5C19"/>
    <w:rsid w:val="00AA5E2C"/>
    <w:rsid w:val="00AA5F4F"/>
    <w:rsid w:val="00AA70F5"/>
    <w:rsid w:val="00AA729F"/>
    <w:rsid w:val="00AB0FE6"/>
    <w:rsid w:val="00AB1D71"/>
    <w:rsid w:val="00AB2DFF"/>
    <w:rsid w:val="00AB2F6D"/>
    <w:rsid w:val="00AB3DA0"/>
    <w:rsid w:val="00AB4097"/>
    <w:rsid w:val="00AB735A"/>
    <w:rsid w:val="00AC0E4A"/>
    <w:rsid w:val="00AC15AF"/>
    <w:rsid w:val="00AC1A7C"/>
    <w:rsid w:val="00AC2701"/>
    <w:rsid w:val="00AC390A"/>
    <w:rsid w:val="00AC59E4"/>
    <w:rsid w:val="00AC5CDB"/>
    <w:rsid w:val="00AC62F0"/>
    <w:rsid w:val="00AD0BCE"/>
    <w:rsid w:val="00AD34A8"/>
    <w:rsid w:val="00AD35F4"/>
    <w:rsid w:val="00AD3622"/>
    <w:rsid w:val="00AD36EE"/>
    <w:rsid w:val="00AD430A"/>
    <w:rsid w:val="00AD481C"/>
    <w:rsid w:val="00AD4C6D"/>
    <w:rsid w:val="00AE0CCC"/>
    <w:rsid w:val="00AE1167"/>
    <w:rsid w:val="00AE1E60"/>
    <w:rsid w:val="00AE426F"/>
    <w:rsid w:val="00AE4C8E"/>
    <w:rsid w:val="00AF05EF"/>
    <w:rsid w:val="00AF07E0"/>
    <w:rsid w:val="00AF1C06"/>
    <w:rsid w:val="00AF2FF1"/>
    <w:rsid w:val="00AF3260"/>
    <w:rsid w:val="00AF783B"/>
    <w:rsid w:val="00AF796F"/>
    <w:rsid w:val="00B01E6D"/>
    <w:rsid w:val="00B0202B"/>
    <w:rsid w:val="00B04717"/>
    <w:rsid w:val="00B05D15"/>
    <w:rsid w:val="00B07469"/>
    <w:rsid w:val="00B14793"/>
    <w:rsid w:val="00B14B3D"/>
    <w:rsid w:val="00B14B8A"/>
    <w:rsid w:val="00B14BFF"/>
    <w:rsid w:val="00B17643"/>
    <w:rsid w:val="00B204B0"/>
    <w:rsid w:val="00B20997"/>
    <w:rsid w:val="00B212A9"/>
    <w:rsid w:val="00B21D6E"/>
    <w:rsid w:val="00B222EB"/>
    <w:rsid w:val="00B22B82"/>
    <w:rsid w:val="00B235C9"/>
    <w:rsid w:val="00B25D76"/>
    <w:rsid w:val="00B30431"/>
    <w:rsid w:val="00B360DD"/>
    <w:rsid w:val="00B364DA"/>
    <w:rsid w:val="00B36FE6"/>
    <w:rsid w:val="00B37CE4"/>
    <w:rsid w:val="00B45E9E"/>
    <w:rsid w:val="00B46651"/>
    <w:rsid w:val="00B47D2E"/>
    <w:rsid w:val="00B5000D"/>
    <w:rsid w:val="00B500E3"/>
    <w:rsid w:val="00B5120B"/>
    <w:rsid w:val="00B51BE3"/>
    <w:rsid w:val="00B5719C"/>
    <w:rsid w:val="00B60791"/>
    <w:rsid w:val="00B618D2"/>
    <w:rsid w:val="00B624EE"/>
    <w:rsid w:val="00B63AF1"/>
    <w:rsid w:val="00B657F9"/>
    <w:rsid w:val="00B70A8C"/>
    <w:rsid w:val="00B716C9"/>
    <w:rsid w:val="00B71731"/>
    <w:rsid w:val="00B71C7C"/>
    <w:rsid w:val="00B72B48"/>
    <w:rsid w:val="00B73063"/>
    <w:rsid w:val="00B73748"/>
    <w:rsid w:val="00B7487A"/>
    <w:rsid w:val="00B7627D"/>
    <w:rsid w:val="00B81E8B"/>
    <w:rsid w:val="00B82AB4"/>
    <w:rsid w:val="00B82E38"/>
    <w:rsid w:val="00B83045"/>
    <w:rsid w:val="00B8351B"/>
    <w:rsid w:val="00B85FBC"/>
    <w:rsid w:val="00B908F2"/>
    <w:rsid w:val="00B91E8F"/>
    <w:rsid w:val="00B92DFB"/>
    <w:rsid w:val="00B93A1E"/>
    <w:rsid w:val="00B93DE3"/>
    <w:rsid w:val="00B96346"/>
    <w:rsid w:val="00B97C48"/>
    <w:rsid w:val="00BA1E84"/>
    <w:rsid w:val="00BA2111"/>
    <w:rsid w:val="00BA4154"/>
    <w:rsid w:val="00BA5AD5"/>
    <w:rsid w:val="00BA5D35"/>
    <w:rsid w:val="00BA6DA0"/>
    <w:rsid w:val="00BB0818"/>
    <w:rsid w:val="00BB11A0"/>
    <w:rsid w:val="00BB1234"/>
    <w:rsid w:val="00BB2BDB"/>
    <w:rsid w:val="00BB3BBA"/>
    <w:rsid w:val="00BB41D1"/>
    <w:rsid w:val="00BB441C"/>
    <w:rsid w:val="00BB674D"/>
    <w:rsid w:val="00BB7C41"/>
    <w:rsid w:val="00BC0DC2"/>
    <w:rsid w:val="00BC2486"/>
    <w:rsid w:val="00BC34A2"/>
    <w:rsid w:val="00BC39D1"/>
    <w:rsid w:val="00BC3CD3"/>
    <w:rsid w:val="00BC54F1"/>
    <w:rsid w:val="00BC5CC7"/>
    <w:rsid w:val="00BD0493"/>
    <w:rsid w:val="00BD0A0E"/>
    <w:rsid w:val="00BD3AE9"/>
    <w:rsid w:val="00BD51DF"/>
    <w:rsid w:val="00BD7368"/>
    <w:rsid w:val="00BD7A68"/>
    <w:rsid w:val="00BD7EAB"/>
    <w:rsid w:val="00BE19C9"/>
    <w:rsid w:val="00BE1F1A"/>
    <w:rsid w:val="00BE240B"/>
    <w:rsid w:val="00BE2F12"/>
    <w:rsid w:val="00BE318B"/>
    <w:rsid w:val="00BE34B1"/>
    <w:rsid w:val="00BE44ED"/>
    <w:rsid w:val="00BE5274"/>
    <w:rsid w:val="00BE5A05"/>
    <w:rsid w:val="00BF0973"/>
    <w:rsid w:val="00BF3429"/>
    <w:rsid w:val="00BF6018"/>
    <w:rsid w:val="00BF6416"/>
    <w:rsid w:val="00BF6DC6"/>
    <w:rsid w:val="00BF7EB8"/>
    <w:rsid w:val="00C00A7E"/>
    <w:rsid w:val="00C03541"/>
    <w:rsid w:val="00C04350"/>
    <w:rsid w:val="00C05647"/>
    <w:rsid w:val="00C05B4F"/>
    <w:rsid w:val="00C06C13"/>
    <w:rsid w:val="00C06D84"/>
    <w:rsid w:val="00C10D03"/>
    <w:rsid w:val="00C16FD9"/>
    <w:rsid w:val="00C2019B"/>
    <w:rsid w:val="00C206E4"/>
    <w:rsid w:val="00C20AE2"/>
    <w:rsid w:val="00C21159"/>
    <w:rsid w:val="00C24529"/>
    <w:rsid w:val="00C27616"/>
    <w:rsid w:val="00C31821"/>
    <w:rsid w:val="00C31E8E"/>
    <w:rsid w:val="00C31F1F"/>
    <w:rsid w:val="00C342B3"/>
    <w:rsid w:val="00C34688"/>
    <w:rsid w:val="00C34F11"/>
    <w:rsid w:val="00C35622"/>
    <w:rsid w:val="00C3578A"/>
    <w:rsid w:val="00C36A66"/>
    <w:rsid w:val="00C40BBD"/>
    <w:rsid w:val="00C40D9C"/>
    <w:rsid w:val="00C41805"/>
    <w:rsid w:val="00C458A6"/>
    <w:rsid w:val="00C46533"/>
    <w:rsid w:val="00C4781B"/>
    <w:rsid w:val="00C5225A"/>
    <w:rsid w:val="00C52ED5"/>
    <w:rsid w:val="00C5341D"/>
    <w:rsid w:val="00C54887"/>
    <w:rsid w:val="00C600B6"/>
    <w:rsid w:val="00C6035D"/>
    <w:rsid w:val="00C618C1"/>
    <w:rsid w:val="00C61B21"/>
    <w:rsid w:val="00C6241B"/>
    <w:rsid w:val="00C6321B"/>
    <w:rsid w:val="00C636F2"/>
    <w:rsid w:val="00C6487D"/>
    <w:rsid w:val="00C667AD"/>
    <w:rsid w:val="00C67E04"/>
    <w:rsid w:val="00C72DF8"/>
    <w:rsid w:val="00C73AF3"/>
    <w:rsid w:val="00C7569A"/>
    <w:rsid w:val="00C757BC"/>
    <w:rsid w:val="00C75A19"/>
    <w:rsid w:val="00C75A56"/>
    <w:rsid w:val="00C75F05"/>
    <w:rsid w:val="00C7642F"/>
    <w:rsid w:val="00C810E8"/>
    <w:rsid w:val="00C81CF4"/>
    <w:rsid w:val="00C821CC"/>
    <w:rsid w:val="00C83523"/>
    <w:rsid w:val="00C83623"/>
    <w:rsid w:val="00C84357"/>
    <w:rsid w:val="00C845F6"/>
    <w:rsid w:val="00C85B55"/>
    <w:rsid w:val="00C85D5C"/>
    <w:rsid w:val="00C85E19"/>
    <w:rsid w:val="00C90EF6"/>
    <w:rsid w:val="00C91AA2"/>
    <w:rsid w:val="00C92B15"/>
    <w:rsid w:val="00C94FDB"/>
    <w:rsid w:val="00C97FB7"/>
    <w:rsid w:val="00CA0175"/>
    <w:rsid w:val="00CA26CC"/>
    <w:rsid w:val="00CA2CF5"/>
    <w:rsid w:val="00CA4242"/>
    <w:rsid w:val="00CA481B"/>
    <w:rsid w:val="00CA5C50"/>
    <w:rsid w:val="00CA66E3"/>
    <w:rsid w:val="00CB0F4C"/>
    <w:rsid w:val="00CB0F66"/>
    <w:rsid w:val="00CB1BDE"/>
    <w:rsid w:val="00CB30ED"/>
    <w:rsid w:val="00CB3CD5"/>
    <w:rsid w:val="00CB5F16"/>
    <w:rsid w:val="00CB6015"/>
    <w:rsid w:val="00CC1AA5"/>
    <w:rsid w:val="00CC2333"/>
    <w:rsid w:val="00CC3D5B"/>
    <w:rsid w:val="00CC56F4"/>
    <w:rsid w:val="00CC578D"/>
    <w:rsid w:val="00CC5D68"/>
    <w:rsid w:val="00CC60AC"/>
    <w:rsid w:val="00CC6198"/>
    <w:rsid w:val="00CD0440"/>
    <w:rsid w:val="00CD1231"/>
    <w:rsid w:val="00CD1AA9"/>
    <w:rsid w:val="00CD4323"/>
    <w:rsid w:val="00CD4E4F"/>
    <w:rsid w:val="00CD500C"/>
    <w:rsid w:val="00CD56A0"/>
    <w:rsid w:val="00CD585D"/>
    <w:rsid w:val="00CD5926"/>
    <w:rsid w:val="00CD5C59"/>
    <w:rsid w:val="00CD6140"/>
    <w:rsid w:val="00CD764D"/>
    <w:rsid w:val="00CE0369"/>
    <w:rsid w:val="00CE2652"/>
    <w:rsid w:val="00CE3EEE"/>
    <w:rsid w:val="00CE45C6"/>
    <w:rsid w:val="00CE620F"/>
    <w:rsid w:val="00CE75D1"/>
    <w:rsid w:val="00CE7FAD"/>
    <w:rsid w:val="00CF0969"/>
    <w:rsid w:val="00CF1708"/>
    <w:rsid w:val="00CF1EEE"/>
    <w:rsid w:val="00CF29AE"/>
    <w:rsid w:val="00CF3D41"/>
    <w:rsid w:val="00CF3FCA"/>
    <w:rsid w:val="00CF4FA1"/>
    <w:rsid w:val="00CF53B5"/>
    <w:rsid w:val="00CF68B0"/>
    <w:rsid w:val="00CF7FD1"/>
    <w:rsid w:val="00D0128D"/>
    <w:rsid w:val="00D0149C"/>
    <w:rsid w:val="00D02404"/>
    <w:rsid w:val="00D02D1E"/>
    <w:rsid w:val="00D03A85"/>
    <w:rsid w:val="00D03F7E"/>
    <w:rsid w:val="00D04428"/>
    <w:rsid w:val="00D0501F"/>
    <w:rsid w:val="00D05033"/>
    <w:rsid w:val="00D05057"/>
    <w:rsid w:val="00D057BD"/>
    <w:rsid w:val="00D0679C"/>
    <w:rsid w:val="00D11757"/>
    <w:rsid w:val="00D11D70"/>
    <w:rsid w:val="00D12BB8"/>
    <w:rsid w:val="00D133D7"/>
    <w:rsid w:val="00D13D92"/>
    <w:rsid w:val="00D14294"/>
    <w:rsid w:val="00D15911"/>
    <w:rsid w:val="00D159E3"/>
    <w:rsid w:val="00D1641B"/>
    <w:rsid w:val="00D20DA3"/>
    <w:rsid w:val="00D2166B"/>
    <w:rsid w:val="00D217C3"/>
    <w:rsid w:val="00D222B8"/>
    <w:rsid w:val="00D2282B"/>
    <w:rsid w:val="00D22DFE"/>
    <w:rsid w:val="00D247FA"/>
    <w:rsid w:val="00D249D5"/>
    <w:rsid w:val="00D25769"/>
    <w:rsid w:val="00D25931"/>
    <w:rsid w:val="00D26C22"/>
    <w:rsid w:val="00D30622"/>
    <w:rsid w:val="00D33D96"/>
    <w:rsid w:val="00D3490D"/>
    <w:rsid w:val="00D35B55"/>
    <w:rsid w:val="00D40E80"/>
    <w:rsid w:val="00D41B63"/>
    <w:rsid w:val="00D42C58"/>
    <w:rsid w:val="00D439EB"/>
    <w:rsid w:val="00D445E4"/>
    <w:rsid w:val="00D44963"/>
    <w:rsid w:val="00D45B5A"/>
    <w:rsid w:val="00D46EA3"/>
    <w:rsid w:val="00D474BC"/>
    <w:rsid w:val="00D51BC1"/>
    <w:rsid w:val="00D524DC"/>
    <w:rsid w:val="00D54D36"/>
    <w:rsid w:val="00D54E7B"/>
    <w:rsid w:val="00D573FE"/>
    <w:rsid w:val="00D57C3B"/>
    <w:rsid w:val="00D602A1"/>
    <w:rsid w:val="00D6661D"/>
    <w:rsid w:val="00D7215D"/>
    <w:rsid w:val="00D733B7"/>
    <w:rsid w:val="00D738C0"/>
    <w:rsid w:val="00D73FF8"/>
    <w:rsid w:val="00D81C56"/>
    <w:rsid w:val="00D81E29"/>
    <w:rsid w:val="00D8354D"/>
    <w:rsid w:val="00D83877"/>
    <w:rsid w:val="00D83CBA"/>
    <w:rsid w:val="00D85FB5"/>
    <w:rsid w:val="00D909B0"/>
    <w:rsid w:val="00D91FBB"/>
    <w:rsid w:val="00D9309B"/>
    <w:rsid w:val="00D95CDB"/>
    <w:rsid w:val="00D96C76"/>
    <w:rsid w:val="00D96E07"/>
    <w:rsid w:val="00D976BC"/>
    <w:rsid w:val="00D97EB7"/>
    <w:rsid w:val="00DA257D"/>
    <w:rsid w:val="00DA3702"/>
    <w:rsid w:val="00DA511B"/>
    <w:rsid w:val="00DA5513"/>
    <w:rsid w:val="00DA7CAB"/>
    <w:rsid w:val="00DB1D1B"/>
    <w:rsid w:val="00DB3E99"/>
    <w:rsid w:val="00DB520D"/>
    <w:rsid w:val="00DB738A"/>
    <w:rsid w:val="00DB75F8"/>
    <w:rsid w:val="00DC30E7"/>
    <w:rsid w:val="00DC373D"/>
    <w:rsid w:val="00DC402D"/>
    <w:rsid w:val="00DC4954"/>
    <w:rsid w:val="00DC4CFC"/>
    <w:rsid w:val="00DC4E9A"/>
    <w:rsid w:val="00DC7011"/>
    <w:rsid w:val="00DC757D"/>
    <w:rsid w:val="00DD02CB"/>
    <w:rsid w:val="00DD20CB"/>
    <w:rsid w:val="00DD36AE"/>
    <w:rsid w:val="00DE06A5"/>
    <w:rsid w:val="00DE0FAE"/>
    <w:rsid w:val="00DE161B"/>
    <w:rsid w:val="00DE2F06"/>
    <w:rsid w:val="00DE7AAD"/>
    <w:rsid w:val="00DF20C5"/>
    <w:rsid w:val="00DF2412"/>
    <w:rsid w:val="00DF2BEB"/>
    <w:rsid w:val="00DF3772"/>
    <w:rsid w:val="00DF51F2"/>
    <w:rsid w:val="00DF65E8"/>
    <w:rsid w:val="00DF73EF"/>
    <w:rsid w:val="00DF7423"/>
    <w:rsid w:val="00DF771E"/>
    <w:rsid w:val="00DF786B"/>
    <w:rsid w:val="00DF7BA0"/>
    <w:rsid w:val="00E01044"/>
    <w:rsid w:val="00E0124B"/>
    <w:rsid w:val="00E046ED"/>
    <w:rsid w:val="00E05148"/>
    <w:rsid w:val="00E05C90"/>
    <w:rsid w:val="00E064AA"/>
    <w:rsid w:val="00E06627"/>
    <w:rsid w:val="00E07D9D"/>
    <w:rsid w:val="00E131CC"/>
    <w:rsid w:val="00E134D4"/>
    <w:rsid w:val="00E13B8F"/>
    <w:rsid w:val="00E14534"/>
    <w:rsid w:val="00E177BE"/>
    <w:rsid w:val="00E20043"/>
    <w:rsid w:val="00E20B36"/>
    <w:rsid w:val="00E2294E"/>
    <w:rsid w:val="00E22D9D"/>
    <w:rsid w:val="00E231BC"/>
    <w:rsid w:val="00E2324A"/>
    <w:rsid w:val="00E23A3A"/>
    <w:rsid w:val="00E2562E"/>
    <w:rsid w:val="00E261F3"/>
    <w:rsid w:val="00E30934"/>
    <w:rsid w:val="00E318D3"/>
    <w:rsid w:val="00E32171"/>
    <w:rsid w:val="00E32B93"/>
    <w:rsid w:val="00E33530"/>
    <w:rsid w:val="00E33C4C"/>
    <w:rsid w:val="00E33E5E"/>
    <w:rsid w:val="00E35FB3"/>
    <w:rsid w:val="00E361CF"/>
    <w:rsid w:val="00E37366"/>
    <w:rsid w:val="00E41E54"/>
    <w:rsid w:val="00E440F2"/>
    <w:rsid w:val="00E4481F"/>
    <w:rsid w:val="00E4505D"/>
    <w:rsid w:val="00E45C34"/>
    <w:rsid w:val="00E46707"/>
    <w:rsid w:val="00E4775D"/>
    <w:rsid w:val="00E47B94"/>
    <w:rsid w:val="00E47E55"/>
    <w:rsid w:val="00E50662"/>
    <w:rsid w:val="00E50DF8"/>
    <w:rsid w:val="00E51A9F"/>
    <w:rsid w:val="00E51FEC"/>
    <w:rsid w:val="00E5471A"/>
    <w:rsid w:val="00E54779"/>
    <w:rsid w:val="00E54CE8"/>
    <w:rsid w:val="00E55606"/>
    <w:rsid w:val="00E57E43"/>
    <w:rsid w:val="00E60413"/>
    <w:rsid w:val="00E63598"/>
    <w:rsid w:val="00E67251"/>
    <w:rsid w:val="00E70139"/>
    <w:rsid w:val="00E71451"/>
    <w:rsid w:val="00E731C5"/>
    <w:rsid w:val="00E77D52"/>
    <w:rsid w:val="00E77EEB"/>
    <w:rsid w:val="00E86A47"/>
    <w:rsid w:val="00E901EC"/>
    <w:rsid w:val="00E90CED"/>
    <w:rsid w:val="00E951E9"/>
    <w:rsid w:val="00E958E2"/>
    <w:rsid w:val="00E9725D"/>
    <w:rsid w:val="00EA073F"/>
    <w:rsid w:val="00EA1C13"/>
    <w:rsid w:val="00EA22BD"/>
    <w:rsid w:val="00EA39BC"/>
    <w:rsid w:val="00EA4C2B"/>
    <w:rsid w:val="00EA4ED5"/>
    <w:rsid w:val="00EA5B57"/>
    <w:rsid w:val="00EA65F1"/>
    <w:rsid w:val="00EA6D41"/>
    <w:rsid w:val="00EA7544"/>
    <w:rsid w:val="00EB13E5"/>
    <w:rsid w:val="00EB2E44"/>
    <w:rsid w:val="00EB3D86"/>
    <w:rsid w:val="00EB42C3"/>
    <w:rsid w:val="00EB4A66"/>
    <w:rsid w:val="00EB4BB1"/>
    <w:rsid w:val="00EB4EC4"/>
    <w:rsid w:val="00EB5773"/>
    <w:rsid w:val="00EB7739"/>
    <w:rsid w:val="00EB7B36"/>
    <w:rsid w:val="00EC064D"/>
    <w:rsid w:val="00EC1B71"/>
    <w:rsid w:val="00EC37B1"/>
    <w:rsid w:val="00EC40EE"/>
    <w:rsid w:val="00EC50D4"/>
    <w:rsid w:val="00EC5D57"/>
    <w:rsid w:val="00EC6F9F"/>
    <w:rsid w:val="00ED06AF"/>
    <w:rsid w:val="00ED0CB4"/>
    <w:rsid w:val="00ED2E7A"/>
    <w:rsid w:val="00ED323A"/>
    <w:rsid w:val="00ED3655"/>
    <w:rsid w:val="00ED4B89"/>
    <w:rsid w:val="00ED6A65"/>
    <w:rsid w:val="00ED7506"/>
    <w:rsid w:val="00ED7F55"/>
    <w:rsid w:val="00EE0142"/>
    <w:rsid w:val="00EE0380"/>
    <w:rsid w:val="00EE23F5"/>
    <w:rsid w:val="00EE2C82"/>
    <w:rsid w:val="00EE359E"/>
    <w:rsid w:val="00EE475E"/>
    <w:rsid w:val="00EE49DE"/>
    <w:rsid w:val="00EE6A91"/>
    <w:rsid w:val="00EE76FD"/>
    <w:rsid w:val="00EF06E6"/>
    <w:rsid w:val="00EF0BD2"/>
    <w:rsid w:val="00EF2131"/>
    <w:rsid w:val="00EF39A8"/>
    <w:rsid w:val="00EF3CCA"/>
    <w:rsid w:val="00EF5419"/>
    <w:rsid w:val="00EF55DD"/>
    <w:rsid w:val="00EF5AC1"/>
    <w:rsid w:val="00EF6522"/>
    <w:rsid w:val="00F00B6C"/>
    <w:rsid w:val="00F0189B"/>
    <w:rsid w:val="00F021D3"/>
    <w:rsid w:val="00F03C9C"/>
    <w:rsid w:val="00F04393"/>
    <w:rsid w:val="00F0466E"/>
    <w:rsid w:val="00F051DB"/>
    <w:rsid w:val="00F054E5"/>
    <w:rsid w:val="00F058A1"/>
    <w:rsid w:val="00F0595A"/>
    <w:rsid w:val="00F0672A"/>
    <w:rsid w:val="00F06EB6"/>
    <w:rsid w:val="00F1161F"/>
    <w:rsid w:val="00F12B0F"/>
    <w:rsid w:val="00F15DE0"/>
    <w:rsid w:val="00F1705B"/>
    <w:rsid w:val="00F17F98"/>
    <w:rsid w:val="00F200B5"/>
    <w:rsid w:val="00F20FA6"/>
    <w:rsid w:val="00F2216F"/>
    <w:rsid w:val="00F22E26"/>
    <w:rsid w:val="00F25CE1"/>
    <w:rsid w:val="00F26E4C"/>
    <w:rsid w:val="00F27F32"/>
    <w:rsid w:val="00F305C4"/>
    <w:rsid w:val="00F30E31"/>
    <w:rsid w:val="00F31F3B"/>
    <w:rsid w:val="00F3228C"/>
    <w:rsid w:val="00F32A1B"/>
    <w:rsid w:val="00F33948"/>
    <w:rsid w:val="00F3394E"/>
    <w:rsid w:val="00F33B3B"/>
    <w:rsid w:val="00F3654A"/>
    <w:rsid w:val="00F37A46"/>
    <w:rsid w:val="00F4068E"/>
    <w:rsid w:val="00F40FF2"/>
    <w:rsid w:val="00F415E5"/>
    <w:rsid w:val="00F41C64"/>
    <w:rsid w:val="00F429D6"/>
    <w:rsid w:val="00F4308B"/>
    <w:rsid w:val="00F43326"/>
    <w:rsid w:val="00F44328"/>
    <w:rsid w:val="00F44CCF"/>
    <w:rsid w:val="00F45096"/>
    <w:rsid w:val="00F45572"/>
    <w:rsid w:val="00F4598E"/>
    <w:rsid w:val="00F46D97"/>
    <w:rsid w:val="00F51C8D"/>
    <w:rsid w:val="00F52150"/>
    <w:rsid w:val="00F52BE0"/>
    <w:rsid w:val="00F532C8"/>
    <w:rsid w:val="00F54749"/>
    <w:rsid w:val="00F56BA3"/>
    <w:rsid w:val="00F56BE5"/>
    <w:rsid w:val="00F56F0E"/>
    <w:rsid w:val="00F57963"/>
    <w:rsid w:val="00F6010F"/>
    <w:rsid w:val="00F6086D"/>
    <w:rsid w:val="00F618DA"/>
    <w:rsid w:val="00F61A2E"/>
    <w:rsid w:val="00F6341C"/>
    <w:rsid w:val="00F63EF2"/>
    <w:rsid w:val="00F64D29"/>
    <w:rsid w:val="00F64F0A"/>
    <w:rsid w:val="00F66A52"/>
    <w:rsid w:val="00F672F3"/>
    <w:rsid w:val="00F713E7"/>
    <w:rsid w:val="00F71C5C"/>
    <w:rsid w:val="00F73652"/>
    <w:rsid w:val="00F74221"/>
    <w:rsid w:val="00F7563B"/>
    <w:rsid w:val="00F76477"/>
    <w:rsid w:val="00F84320"/>
    <w:rsid w:val="00F867A7"/>
    <w:rsid w:val="00F86AA1"/>
    <w:rsid w:val="00F935B8"/>
    <w:rsid w:val="00F93B1B"/>
    <w:rsid w:val="00F9417B"/>
    <w:rsid w:val="00F94461"/>
    <w:rsid w:val="00FA1AA8"/>
    <w:rsid w:val="00FA33A0"/>
    <w:rsid w:val="00FA6110"/>
    <w:rsid w:val="00FB21FA"/>
    <w:rsid w:val="00FB2258"/>
    <w:rsid w:val="00FB3390"/>
    <w:rsid w:val="00FB5BD9"/>
    <w:rsid w:val="00FB7BB4"/>
    <w:rsid w:val="00FC02D6"/>
    <w:rsid w:val="00FC2772"/>
    <w:rsid w:val="00FC2C8F"/>
    <w:rsid w:val="00FC34C7"/>
    <w:rsid w:val="00FC3666"/>
    <w:rsid w:val="00FC3CA7"/>
    <w:rsid w:val="00FC4299"/>
    <w:rsid w:val="00FC671B"/>
    <w:rsid w:val="00FC6CAF"/>
    <w:rsid w:val="00FC73E5"/>
    <w:rsid w:val="00FD0D2F"/>
    <w:rsid w:val="00FD1896"/>
    <w:rsid w:val="00FD1D18"/>
    <w:rsid w:val="00FD2EAD"/>
    <w:rsid w:val="00FD3BBE"/>
    <w:rsid w:val="00FD5FFE"/>
    <w:rsid w:val="00FD60F1"/>
    <w:rsid w:val="00FE12AB"/>
    <w:rsid w:val="00FE205D"/>
    <w:rsid w:val="00FE45DC"/>
    <w:rsid w:val="00FE497B"/>
    <w:rsid w:val="00FE4DC8"/>
    <w:rsid w:val="00FE57BC"/>
    <w:rsid w:val="00FE5E9F"/>
    <w:rsid w:val="00FE6A45"/>
    <w:rsid w:val="00FE6ADB"/>
    <w:rsid w:val="00FE7428"/>
    <w:rsid w:val="00FE7C42"/>
    <w:rsid w:val="00FF2701"/>
    <w:rsid w:val="00FF5107"/>
    <w:rsid w:val="00FF51AF"/>
    <w:rsid w:val="00FF6010"/>
    <w:rsid w:val="00FF613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013A43"/>
  <w15:chartTrackingRefBased/>
  <w15:docId w15:val="{47878071-9BEB-0348-A94A-B1B54F5237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E29B9"/>
    <w:rPr>
      <w:rFonts w:ascii="Times New Roman" w:eastAsia="Times New Roman" w:hAnsi="Times New Roman" w:cs="Times New Roman"/>
      <w:kern w:val="0"/>
      <w14:ligatures w14:val="none"/>
    </w:rPr>
  </w:style>
  <w:style w:type="paragraph" w:styleId="Heading1">
    <w:name w:val="heading 1"/>
    <w:basedOn w:val="Normal"/>
    <w:next w:val="Normal"/>
    <w:link w:val="Heading1Char"/>
    <w:uiPriority w:val="9"/>
    <w:qFormat/>
    <w:rsid w:val="002E29B9"/>
    <w:pPr>
      <w:keepNext/>
      <w:keepLines/>
      <w:spacing w:before="360" w:after="80"/>
      <w:outlineLvl w:val="0"/>
    </w:pPr>
    <w:rPr>
      <w:rFonts w:asciiTheme="majorHAnsi" w:eastAsiaTheme="majorEastAsia" w:hAnsiTheme="majorHAnsi" w:cstheme="majorBidi"/>
      <w:color w:val="0F4761" w:themeColor="accent1" w:themeShade="BF"/>
      <w:kern w:val="2"/>
      <w:sz w:val="40"/>
      <w:szCs w:val="40"/>
      <w14:ligatures w14:val="standardContextual"/>
    </w:rPr>
  </w:style>
  <w:style w:type="paragraph" w:styleId="Heading2">
    <w:name w:val="heading 2"/>
    <w:basedOn w:val="Normal"/>
    <w:next w:val="Normal"/>
    <w:link w:val="Heading2Char"/>
    <w:uiPriority w:val="9"/>
    <w:semiHidden/>
    <w:unhideWhenUsed/>
    <w:qFormat/>
    <w:rsid w:val="002E29B9"/>
    <w:pPr>
      <w:keepNext/>
      <w:keepLines/>
      <w:spacing w:before="160" w:after="80"/>
      <w:outlineLvl w:val="1"/>
    </w:pPr>
    <w:rPr>
      <w:rFonts w:asciiTheme="majorHAnsi" w:eastAsiaTheme="majorEastAsia" w:hAnsiTheme="majorHAnsi" w:cstheme="majorBidi"/>
      <w:color w:val="0F4761" w:themeColor="accent1" w:themeShade="BF"/>
      <w:kern w:val="2"/>
      <w:sz w:val="32"/>
      <w:szCs w:val="32"/>
      <w14:ligatures w14:val="standardContextual"/>
    </w:rPr>
  </w:style>
  <w:style w:type="paragraph" w:styleId="Heading3">
    <w:name w:val="heading 3"/>
    <w:basedOn w:val="Normal"/>
    <w:next w:val="Normal"/>
    <w:link w:val="Heading3Char"/>
    <w:uiPriority w:val="9"/>
    <w:semiHidden/>
    <w:unhideWhenUsed/>
    <w:qFormat/>
    <w:rsid w:val="002E29B9"/>
    <w:pPr>
      <w:keepNext/>
      <w:keepLines/>
      <w:spacing w:before="160" w:after="80"/>
      <w:outlineLvl w:val="2"/>
    </w:pPr>
    <w:rPr>
      <w:rFonts w:asciiTheme="minorHAnsi" w:eastAsiaTheme="majorEastAsia" w:hAnsiTheme="minorHAnsi" w:cstheme="majorBidi"/>
      <w:color w:val="0F4761"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2E29B9"/>
    <w:pPr>
      <w:keepNext/>
      <w:keepLines/>
      <w:spacing w:before="80" w:after="40"/>
      <w:outlineLvl w:val="3"/>
    </w:pPr>
    <w:rPr>
      <w:rFonts w:asciiTheme="minorHAnsi" w:eastAsiaTheme="majorEastAsia" w:hAnsiTheme="minorHAnsi" w:cstheme="majorBidi"/>
      <w:i/>
      <w:iCs/>
      <w:color w:val="0F4761" w:themeColor="accent1" w:themeShade="BF"/>
      <w:kern w:val="2"/>
      <w14:ligatures w14:val="standardContextual"/>
    </w:rPr>
  </w:style>
  <w:style w:type="paragraph" w:styleId="Heading5">
    <w:name w:val="heading 5"/>
    <w:basedOn w:val="Normal"/>
    <w:next w:val="Normal"/>
    <w:link w:val="Heading5Char"/>
    <w:uiPriority w:val="9"/>
    <w:semiHidden/>
    <w:unhideWhenUsed/>
    <w:qFormat/>
    <w:rsid w:val="002E29B9"/>
    <w:pPr>
      <w:keepNext/>
      <w:keepLines/>
      <w:spacing w:before="80" w:after="40"/>
      <w:outlineLvl w:val="4"/>
    </w:pPr>
    <w:rPr>
      <w:rFonts w:asciiTheme="minorHAnsi" w:eastAsiaTheme="majorEastAsia" w:hAnsiTheme="minorHAnsi" w:cstheme="majorBidi"/>
      <w:color w:val="0F4761" w:themeColor="accent1" w:themeShade="BF"/>
      <w:kern w:val="2"/>
      <w14:ligatures w14:val="standardContextual"/>
    </w:rPr>
  </w:style>
  <w:style w:type="paragraph" w:styleId="Heading6">
    <w:name w:val="heading 6"/>
    <w:basedOn w:val="Normal"/>
    <w:next w:val="Normal"/>
    <w:link w:val="Heading6Char"/>
    <w:uiPriority w:val="9"/>
    <w:semiHidden/>
    <w:unhideWhenUsed/>
    <w:qFormat/>
    <w:rsid w:val="002E29B9"/>
    <w:pPr>
      <w:keepNext/>
      <w:keepLines/>
      <w:spacing w:before="40"/>
      <w:outlineLvl w:val="5"/>
    </w:pPr>
    <w:rPr>
      <w:rFonts w:asciiTheme="minorHAnsi" w:eastAsiaTheme="majorEastAsia" w:hAnsiTheme="minorHAnsi" w:cstheme="majorBidi"/>
      <w:i/>
      <w:iCs/>
      <w:color w:val="595959" w:themeColor="text1" w:themeTint="A6"/>
      <w:kern w:val="2"/>
      <w14:ligatures w14:val="standardContextual"/>
    </w:rPr>
  </w:style>
  <w:style w:type="paragraph" w:styleId="Heading7">
    <w:name w:val="heading 7"/>
    <w:basedOn w:val="Normal"/>
    <w:next w:val="Normal"/>
    <w:link w:val="Heading7Char"/>
    <w:uiPriority w:val="9"/>
    <w:semiHidden/>
    <w:unhideWhenUsed/>
    <w:qFormat/>
    <w:rsid w:val="002E29B9"/>
    <w:pPr>
      <w:keepNext/>
      <w:keepLines/>
      <w:spacing w:before="40"/>
      <w:outlineLvl w:val="6"/>
    </w:pPr>
    <w:rPr>
      <w:rFonts w:asciiTheme="minorHAnsi" w:eastAsiaTheme="majorEastAsia" w:hAnsiTheme="minorHAnsi" w:cstheme="majorBidi"/>
      <w:color w:val="595959" w:themeColor="text1" w:themeTint="A6"/>
      <w:kern w:val="2"/>
      <w14:ligatures w14:val="standardContextual"/>
    </w:rPr>
  </w:style>
  <w:style w:type="paragraph" w:styleId="Heading8">
    <w:name w:val="heading 8"/>
    <w:basedOn w:val="Normal"/>
    <w:next w:val="Normal"/>
    <w:link w:val="Heading8Char"/>
    <w:uiPriority w:val="9"/>
    <w:semiHidden/>
    <w:unhideWhenUsed/>
    <w:qFormat/>
    <w:rsid w:val="002E29B9"/>
    <w:pPr>
      <w:keepNext/>
      <w:keepLines/>
      <w:outlineLvl w:val="7"/>
    </w:pPr>
    <w:rPr>
      <w:rFonts w:asciiTheme="minorHAnsi" w:eastAsiaTheme="majorEastAsia" w:hAnsiTheme="minorHAnsi" w:cstheme="majorBidi"/>
      <w:i/>
      <w:iCs/>
      <w:color w:val="272727" w:themeColor="text1" w:themeTint="D8"/>
      <w:kern w:val="2"/>
      <w14:ligatures w14:val="standardContextual"/>
    </w:rPr>
  </w:style>
  <w:style w:type="paragraph" w:styleId="Heading9">
    <w:name w:val="heading 9"/>
    <w:basedOn w:val="Normal"/>
    <w:next w:val="Normal"/>
    <w:link w:val="Heading9Char"/>
    <w:uiPriority w:val="9"/>
    <w:semiHidden/>
    <w:unhideWhenUsed/>
    <w:qFormat/>
    <w:rsid w:val="002E29B9"/>
    <w:pPr>
      <w:keepNext/>
      <w:keepLines/>
      <w:outlineLvl w:val="8"/>
    </w:pPr>
    <w:rPr>
      <w:rFonts w:asciiTheme="minorHAnsi" w:eastAsiaTheme="majorEastAsia" w:hAnsiTheme="minorHAnsi" w:cstheme="majorBidi"/>
      <w:color w:val="272727" w:themeColor="text1" w:themeTint="D8"/>
      <w:kern w:val="2"/>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E29B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2E29B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2E29B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2E29B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2E29B9"/>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2E29B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2E29B9"/>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2E29B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2E29B9"/>
    <w:rPr>
      <w:rFonts w:eastAsiaTheme="majorEastAsia" w:cstheme="majorBidi"/>
      <w:color w:val="272727" w:themeColor="text1" w:themeTint="D8"/>
    </w:rPr>
  </w:style>
  <w:style w:type="paragraph" w:styleId="Title">
    <w:name w:val="Title"/>
    <w:basedOn w:val="Normal"/>
    <w:next w:val="Normal"/>
    <w:link w:val="TitleChar"/>
    <w:uiPriority w:val="10"/>
    <w:qFormat/>
    <w:rsid w:val="002E29B9"/>
    <w:pPr>
      <w:spacing w:after="80"/>
      <w:contextualSpacing/>
    </w:pPr>
    <w:rPr>
      <w:rFonts w:asciiTheme="majorHAnsi" w:eastAsiaTheme="majorEastAsia" w:hAnsiTheme="majorHAnsi" w:cstheme="majorBidi"/>
      <w:spacing w:val="-10"/>
      <w:kern w:val="28"/>
      <w:sz w:val="56"/>
      <w:szCs w:val="56"/>
      <w14:ligatures w14:val="standardContextual"/>
    </w:rPr>
  </w:style>
  <w:style w:type="character" w:customStyle="1" w:styleId="TitleChar">
    <w:name w:val="Title Char"/>
    <w:basedOn w:val="DefaultParagraphFont"/>
    <w:link w:val="Title"/>
    <w:uiPriority w:val="10"/>
    <w:rsid w:val="002E29B9"/>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2E29B9"/>
    <w:pPr>
      <w:numPr>
        <w:ilvl w:val="1"/>
      </w:numPr>
      <w:spacing w:after="160"/>
    </w:pPr>
    <w:rPr>
      <w:rFonts w:asciiTheme="minorHAnsi" w:eastAsiaTheme="majorEastAsia" w:hAnsiTheme="minorHAnsi" w:cstheme="majorBidi"/>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2E29B9"/>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2E29B9"/>
    <w:pPr>
      <w:spacing w:before="160" w:after="160"/>
      <w:jc w:val="center"/>
    </w:pPr>
    <w:rPr>
      <w:rFonts w:asciiTheme="minorHAnsi" w:eastAsiaTheme="minorHAnsi" w:hAnsiTheme="minorHAnsi" w:cstheme="minorBidi"/>
      <w:i/>
      <w:iCs/>
      <w:color w:val="404040" w:themeColor="text1" w:themeTint="BF"/>
      <w:kern w:val="2"/>
      <w14:ligatures w14:val="standardContextual"/>
    </w:rPr>
  </w:style>
  <w:style w:type="character" w:customStyle="1" w:styleId="QuoteChar">
    <w:name w:val="Quote Char"/>
    <w:basedOn w:val="DefaultParagraphFont"/>
    <w:link w:val="Quote"/>
    <w:uiPriority w:val="29"/>
    <w:rsid w:val="002E29B9"/>
    <w:rPr>
      <w:i/>
      <w:iCs/>
      <w:color w:val="404040" w:themeColor="text1" w:themeTint="BF"/>
    </w:rPr>
  </w:style>
  <w:style w:type="paragraph" w:styleId="ListParagraph">
    <w:name w:val="List Paragraph"/>
    <w:basedOn w:val="Normal"/>
    <w:uiPriority w:val="34"/>
    <w:qFormat/>
    <w:rsid w:val="002E29B9"/>
    <w:pPr>
      <w:ind w:left="720"/>
      <w:contextualSpacing/>
    </w:pPr>
    <w:rPr>
      <w:rFonts w:asciiTheme="minorHAnsi" w:eastAsiaTheme="minorHAnsi" w:hAnsiTheme="minorHAnsi" w:cstheme="minorBidi"/>
      <w:kern w:val="2"/>
      <w14:ligatures w14:val="standardContextual"/>
    </w:rPr>
  </w:style>
  <w:style w:type="character" w:styleId="IntenseEmphasis">
    <w:name w:val="Intense Emphasis"/>
    <w:basedOn w:val="DefaultParagraphFont"/>
    <w:uiPriority w:val="21"/>
    <w:qFormat/>
    <w:rsid w:val="002E29B9"/>
    <w:rPr>
      <w:i/>
      <w:iCs/>
      <w:color w:val="0F4761" w:themeColor="accent1" w:themeShade="BF"/>
    </w:rPr>
  </w:style>
  <w:style w:type="paragraph" w:styleId="IntenseQuote">
    <w:name w:val="Intense Quote"/>
    <w:basedOn w:val="Normal"/>
    <w:next w:val="Normal"/>
    <w:link w:val="IntenseQuoteChar"/>
    <w:uiPriority w:val="30"/>
    <w:qFormat/>
    <w:rsid w:val="002E29B9"/>
    <w:pPr>
      <w:pBdr>
        <w:top w:val="single" w:sz="4" w:space="10" w:color="0F4761" w:themeColor="accent1" w:themeShade="BF"/>
        <w:bottom w:val="single" w:sz="4" w:space="10" w:color="0F4761" w:themeColor="accent1" w:themeShade="BF"/>
      </w:pBdr>
      <w:spacing w:before="360" w:after="360"/>
      <w:ind w:left="864" w:right="864"/>
      <w:jc w:val="center"/>
    </w:pPr>
    <w:rPr>
      <w:rFonts w:asciiTheme="minorHAnsi" w:eastAsiaTheme="minorHAnsi" w:hAnsiTheme="minorHAnsi" w:cstheme="minorBidi"/>
      <w:i/>
      <w:iCs/>
      <w:color w:val="0F4761" w:themeColor="accent1" w:themeShade="BF"/>
      <w:kern w:val="2"/>
      <w14:ligatures w14:val="standardContextual"/>
    </w:rPr>
  </w:style>
  <w:style w:type="character" w:customStyle="1" w:styleId="IntenseQuoteChar">
    <w:name w:val="Intense Quote Char"/>
    <w:basedOn w:val="DefaultParagraphFont"/>
    <w:link w:val="IntenseQuote"/>
    <w:uiPriority w:val="30"/>
    <w:rsid w:val="002E29B9"/>
    <w:rPr>
      <w:i/>
      <w:iCs/>
      <w:color w:val="0F4761" w:themeColor="accent1" w:themeShade="BF"/>
    </w:rPr>
  </w:style>
  <w:style w:type="character" w:styleId="IntenseReference">
    <w:name w:val="Intense Reference"/>
    <w:basedOn w:val="DefaultParagraphFont"/>
    <w:uiPriority w:val="32"/>
    <w:qFormat/>
    <w:rsid w:val="002E29B9"/>
    <w:rPr>
      <w:b/>
      <w:bCs/>
      <w:smallCaps/>
      <w:color w:val="0F4761" w:themeColor="accent1" w:themeShade="BF"/>
      <w:spacing w:val="5"/>
    </w:rPr>
  </w:style>
  <w:style w:type="character" w:styleId="Hyperlink">
    <w:name w:val="Hyperlink"/>
    <w:rsid w:val="002E29B9"/>
    <w:rPr>
      <w:color w:val="0000FF"/>
      <w:u w:val="single"/>
    </w:rPr>
  </w:style>
  <w:style w:type="character" w:styleId="CommentReference">
    <w:name w:val="annotation reference"/>
    <w:rsid w:val="002E29B9"/>
    <w:rPr>
      <w:sz w:val="16"/>
      <w:szCs w:val="16"/>
    </w:rPr>
  </w:style>
  <w:style w:type="paragraph" w:styleId="CommentText">
    <w:name w:val="annotation text"/>
    <w:basedOn w:val="Normal"/>
    <w:link w:val="CommentTextChar"/>
    <w:rsid w:val="002E29B9"/>
    <w:rPr>
      <w:sz w:val="20"/>
      <w:szCs w:val="20"/>
    </w:rPr>
  </w:style>
  <w:style w:type="character" w:customStyle="1" w:styleId="CommentTextChar">
    <w:name w:val="Comment Text Char"/>
    <w:basedOn w:val="DefaultParagraphFont"/>
    <w:link w:val="CommentText"/>
    <w:rsid w:val="002E29B9"/>
    <w:rPr>
      <w:rFonts w:ascii="Times New Roman" w:eastAsia="Times New Roman" w:hAnsi="Times New Roman" w:cs="Times New Roman"/>
      <w:kern w:val="0"/>
      <w:sz w:val="20"/>
      <w:szCs w:val="20"/>
      <w14:ligatures w14:val="none"/>
    </w:rPr>
  </w:style>
  <w:style w:type="character" w:customStyle="1" w:styleId="ICBAbold">
    <w:name w:val="ICBA bold"/>
    <w:rsid w:val="002E29B9"/>
    <w:rPr>
      <w:b/>
    </w:rPr>
  </w:style>
  <w:style w:type="paragraph" w:styleId="Header">
    <w:name w:val="header"/>
    <w:basedOn w:val="Normal"/>
    <w:link w:val="HeaderChar"/>
    <w:uiPriority w:val="99"/>
    <w:unhideWhenUsed/>
    <w:rsid w:val="00BC2486"/>
    <w:pPr>
      <w:tabs>
        <w:tab w:val="center" w:pos="4680"/>
        <w:tab w:val="right" w:pos="9360"/>
      </w:tabs>
    </w:pPr>
  </w:style>
  <w:style w:type="character" w:customStyle="1" w:styleId="HeaderChar">
    <w:name w:val="Header Char"/>
    <w:basedOn w:val="DefaultParagraphFont"/>
    <w:link w:val="Header"/>
    <w:uiPriority w:val="99"/>
    <w:rsid w:val="00BC2486"/>
    <w:rPr>
      <w:rFonts w:ascii="Times New Roman" w:eastAsia="Times New Roman" w:hAnsi="Times New Roman" w:cs="Times New Roman"/>
      <w:kern w:val="0"/>
      <w14:ligatures w14:val="none"/>
    </w:rPr>
  </w:style>
  <w:style w:type="paragraph" w:styleId="Footer">
    <w:name w:val="footer"/>
    <w:basedOn w:val="Normal"/>
    <w:link w:val="FooterChar"/>
    <w:uiPriority w:val="99"/>
    <w:unhideWhenUsed/>
    <w:rsid w:val="00BC2486"/>
    <w:pPr>
      <w:tabs>
        <w:tab w:val="center" w:pos="4680"/>
        <w:tab w:val="right" w:pos="9360"/>
      </w:tabs>
    </w:pPr>
  </w:style>
  <w:style w:type="character" w:customStyle="1" w:styleId="FooterChar">
    <w:name w:val="Footer Char"/>
    <w:basedOn w:val="DefaultParagraphFont"/>
    <w:link w:val="Footer"/>
    <w:uiPriority w:val="99"/>
    <w:rsid w:val="00BC2486"/>
    <w:rPr>
      <w:rFonts w:ascii="Times New Roman" w:eastAsia="Times New Roman" w:hAnsi="Times New Roman" w:cs="Times New Roman"/>
      <w:kern w:val="0"/>
      <w14:ligatures w14:val="none"/>
    </w:rPr>
  </w:style>
  <w:style w:type="paragraph" w:styleId="Revision">
    <w:name w:val="Revision"/>
    <w:hidden/>
    <w:uiPriority w:val="99"/>
    <w:semiHidden/>
    <w:rsid w:val="00243ED6"/>
    <w:rPr>
      <w:rFonts w:ascii="Times New Roman" w:eastAsia="Times New Roman" w:hAnsi="Times New Roman" w:cs="Times New Roman"/>
      <w:kern w:val="0"/>
      <w14:ligatures w14:val="none"/>
    </w:rPr>
  </w:style>
  <w:style w:type="paragraph" w:styleId="CommentSubject">
    <w:name w:val="annotation subject"/>
    <w:basedOn w:val="CommentText"/>
    <w:next w:val="CommentText"/>
    <w:link w:val="CommentSubjectChar"/>
    <w:uiPriority w:val="99"/>
    <w:semiHidden/>
    <w:unhideWhenUsed/>
    <w:rsid w:val="00243ED6"/>
    <w:rPr>
      <w:b/>
      <w:bCs/>
    </w:rPr>
  </w:style>
  <w:style w:type="character" w:customStyle="1" w:styleId="CommentSubjectChar">
    <w:name w:val="Comment Subject Char"/>
    <w:basedOn w:val="CommentTextChar"/>
    <w:link w:val="CommentSubject"/>
    <w:uiPriority w:val="99"/>
    <w:semiHidden/>
    <w:rsid w:val="00243ED6"/>
    <w:rPr>
      <w:rFonts w:ascii="Times New Roman" w:eastAsia="Times New Roman" w:hAnsi="Times New Roman" w:cs="Times New Roman"/>
      <w:b/>
      <w:bCs/>
      <w:kern w:val="0"/>
      <w:sz w:val="20"/>
      <w:szCs w:val="20"/>
      <w14:ligatures w14:val="none"/>
    </w:rPr>
  </w:style>
  <w:style w:type="character" w:styleId="UnresolvedMention">
    <w:name w:val="Unresolved Mention"/>
    <w:basedOn w:val="DefaultParagraphFont"/>
    <w:uiPriority w:val="99"/>
    <w:semiHidden/>
    <w:unhideWhenUsed/>
    <w:rsid w:val="00B91E8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817917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reber@icbasecurities.co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29C213B-81F8-9841-BBF5-B00A8A2B5F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4</Pages>
  <Words>910</Words>
  <Characters>5190</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Molly Bennett</dc:creator>
  <cp:keywords/>
  <dc:description/>
  <cp:lastModifiedBy>Tarra Willox</cp:lastModifiedBy>
  <cp:revision>4</cp:revision>
  <dcterms:created xsi:type="dcterms:W3CDTF">2024-12-20T20:45:00Z</dcterms:created>
  <dcterms:modified xsi:type="dcterms:W3CDTF">2025-01-21T22:28:00Z</dcterms:modified>
</cp:coreProperties>
</file>