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EB09" w14:textId="585B7D1F" w:rsidR="00017DB6" w:rsidRPr="003D49D5" w:rsidRDefault="00296592" w:rsidP="003D49D5">
      <w:pPr>
        <w:tabs>
          <w:tab w:val="left" w:pos="540"/>
          <w:tab w:val="left" w:pos="2550"/>
        </w:tabs>
        <w:spacing w:line="360" w:lineRule="auto"/>
        <w:rPr>
          <w:rStyle w:val="ICBAbold"/>
        </w:rPr>
      </w:pPr>
      <w:bookmarkStart w:id="0" w:name="_Hlk66104766"/>
      <w:r w:rsidRPr="003D49D5">
        <w:rPr>
          <w:rStyle w:val="ICBAbold"/>
        </w:rPr>
        <w:t>Independent Banker</w:t>
      </w:r>
    </w:p>
    <w:p w14:paraId="3AD95FF8" w14:textId="34DF1608" w:rsidR="00296592" w:rsidRPr="003D49D5" w:rsidRDefault="00203FB9" w:rsidP="003D49D5">
      <w:pPr>
        <w:tabs>
          <w:tab w:val="left" w:pos="540"/>
          <w:tab w:val="left" w:pos="2550"/>
        </w:tabs>
        <w:spacing w:line="360" w:lineRule="auto"/>
        <w:rPr>
          <w:rStyle w:val="ICBAbold"/>
        </w:rPr>
      </w:pPr>
      <w:r>
        <w:rPr>
          <w:rStyle w:val="ICBAbold"/>
        </w:rPr>
        <w:t xml:space="preserve">December </w:t>
      </w:r>
      <w:r w:rsidR="004A1223" w:rsidRPr="003D49D5">
        <w:rPr>
          <w:rStyle w:val="ICBAbold"/>
        </w:rPr>
        <w:t>2022</w:t>
      </w:r>
    </w:p>
    <w:p w14:paraId="0AA1C8D8" w14:textId="7D676968" w:rsidR="00F86B09" w:rsidRPr="003D49D5" w:rsidRDefault="00296592" w:rsidP="003D49D5">
      <w:pPr>
        <w:tabs>
          <w:tab w:val="left" w:pos="540"/>
          <w:tab w:val="left" w:pos="2550"/>
        </w:tabs>
        <w:spacing w:line="360" w:lineRule="auto"/>
        <w:rPr>
          <w:rStyle w:val="ICBAbold"/>
          <w:bCs/>
        </w:rPr>
      </w:pPr>
      <w:r w:rsidRPr="003D49D5">
        <w:rPr>
          <w:rStyle w:val="ICBAbold"/>
          <w:bCs/>
        </w:rPr>
        <w:t>Portfolio</w:t>
      </w:r>
      <w:r w:rsidR="00536105" w:rsidRPr="003D49D5">
        <w:rPr>
          <w:rStyle w:val="ICBAbold"/>
          <w:bCs/>
        </w:rPr>
        <w:t xml:space="preserve"> </w:t>
      </w:r>
    </w:p>
    <w:p w14:paraId="2FAFA8F6" w14:textId="4B3DA896" w:rsidR="00F86B09" w:rsidRDefault="00F86B09" w:rsidP="003D49D5">
      <w:pPr>
        <w:tabs>
          <w:tab w:val="left" w:pos="540"/>
          <w:tab w:val="left" w:pos="2550"/>
        </w:tabs>
        <w:spacing w:line="360" w:lineRule="auto"/>
        <w:rPr>
          <w:rStyle w:val="ICBAbold"/>
          <w:bCs/>
        </w:rPr>
      </w:pPr>
    </w:p>
    <w:p w14:paraId="7EEED5BF" w14:textId="4CE30E0A" w:rsidR="004C4F00" w:rsidRPr="00867B80" w:rsidRDefault="00F86B09" w:rsidP="003D49D5">
      <w:pPr>
        <w:tabs>
          <w:tab w:val="left" w:pos="540"/>
          <w:tab w:val="left" w:pos="2550"/>
        </w:tabs>
        <w:spacing w:line="360" w:lineRule="auto"/>
        <w:rPr>
          <w:rStyle w:val="ICBAbold"/>
          <w:bCs/>
        </w:rPr>
      </w:pPr>
      <w:r w:rsidRPr="003D49D5">
        <w:rPr>
          <w:rStyle w:val="ICBAbold"/>
          <w:b w:val="0"/>
          <w:color w:val="FF0000"/>
        </w:rPr>
        <w:t xml:space="preserve">[tag] </w:t>
      </w:r>
      <w:r w:rsidRPr="00867B80">
        <w:rPr>
          <w:rStyle w:val="ICBAbold"/>
          <w:bCs/>
        </w:rPr>
        <w:t xml:space="preserve">Portfolio </w:t>
      </w:r>
      <w:r w:rsidR="00296592" w:rsidRPr="00867B80">
        <w:rPr>
          <w:rStyle w:val="ICBAbold"/>
          <w:bCs/>
        </w:rPr>
        <w:t>Managemen</w:t>
      </w:r>
      <w:r w:rsidR="00BC35B4" w:rsidRPr="00867B80">
        <w:rPr>
          <w:rStyle w:val="ICBAbold"/>
          <w:bCs/>
        </w:rPr>
        <w:t>t</w:t>
      </w:r>
    </w:p>
    <w:p w14:paraId="2B8AF5A7" w14:textId="77777777" w:rsidR="004C4F00" w:rsidRPr="003D49D5" w:rsidRDefault="004C4F00" w:rsidP="003D49D5">
      <w:pPr>
        <w:tabs>
          <w:tab w:val="left" w:pos="540"/>
        </w:tabs>
        <w:spacing w:line="360" w:lineRule="auto"/>
        <w:rPr>
          <w:rStyle w:val="ICBAbold"/>
        </w:rPr>
      </w:pPr>
    </w:p>
    <w:p w14:paraId="0CFEC57D" w14:textId="14D52974" w:rsidR="007A2F87" w:rsidRPr="003D49D5" w:rsidRDefault="009C7D32" w:rsidP="003D49D5">
      <w:pPr>
        <w:tabs>
          <w:tab w:val="left" w:pos="540"/>
        </w:tabs>
        <w:spacing w:line="360" w:lineRule="auto"/>
        <w:rPr>
          <w:rStyle w:val="ICBAbold"/>
        </w:rPr>
      </w:pPr>
      <w:r w:rsidRPr="003D49D5">
        <w:rPr>
          <w:rStyle w:val="ICBAbold"/>
          <w:b w:val="0"/>
          <w:color w:val="FF0000"/>
        </w:rPr>
        <w:t>[</w:t>
      </w:r>
      <w:proofErr w:type="spellStart"/>
      <w:r w:rsidRPr="003D49D5">
        <w:rPr>
          <w:rStyle w:val="ICBAbold"/>
          <w:b w:val="0"/>
          <w:color w:val="FF0000"/>
        </w:rPr>
        <w:t>hed</w:t>
      </w:r>
      <w:proofErr w:type="spellEnd"/>
      <w:r w:rsidRPr="003D49D5">
        <w:rPr>
          <w:rStyle w:val="ICBAbold"/>
          <w:b w:val="0"/>
          <w:color w:val="FF0000"/>
        </w:rPr>
        <w:t>]</w:t>
      </w:r>
      <w:r w:rsidR="00B06803">
        <w:rPr>
          <w:rStyle w:val="ICBAbold"/>
          <w:b w:val="0"/>
          <w:color w:val="FF0000"/>
        </w:rPr>
        <w:t xml:space="preserve"> </w:t>
      </w:r>
      <w:r w:rsidR="004B2C0F">
        <w:rPr>
          <w:rStyle w:val="ICBAbold"/>
        </w:rPr>
        <w:t>Historic sell-off</w:t>
      </w:r>
    </w:p>
    <w:p w14:paraId="24EAFA45" w14:textId="77777777" w:rsidR="009C7D32" w:rsidRPr="003D49D5" w:rsidRDefault="009C7D32" w:rsidP="003D49D5">
      <w:pPr>
        <w:tabs>
          <w:tab w:val="left" w:pos="540"/>
        </w:tabs>
        <w:spacing w:line="360" w:lineRule="auto"/>
        <w:rPr>
          <w:rStyle w:val="ICBAbold"/>
          <w:b w:val="0"/>
        </w:rPr>
      </w:pPr>
    </w:p>
    <w:p w14:paraId="658FE2D6" w14:textId="50A40747" w:rsidR="004C4F00" w:rsidRPr="003D49D5" w:rsidRDefault="009C7D32" w:rsidP="003D49D5">
      <w:pPr>
        <w:tabs>
          <w:tab w:val="left" w:pos="540"/>
        </w:tabs>
        <w:spacing w:line="360" w:lineRule="auto"/>
        <w:rPr>
          <w:rStyle w:val="ICBAbold"/>
          <w:b w:val="0"/>
        </w:rPr>
      </w:pPr>
      <w:r w:rsidRPr="003D49D5">
        <w:rPr>
          <w:rStyle w:val="ICBAbold"/>
          <w:b w:val="0"/>
          <w:color w:val="FF0000"/>
        </w:rPr>
        <w:t>[</w:t>
      </w:r>
      <w:proofErr w:type="spellStart"/>
      <w:r w:rsidRPr="003D49D5">
        <w:rPr>
          <w:rStyle w:val="ICBAbold"/>
          <w:b w:val="0"/>
          <w:color w:val="FF0000"/>
        </w:rPr>
        <w:t>dek</w:t>
      </w:r>
      <w:proofErr w:type="spellEnd"/>
      <w:r w:rsidRPr="003D49D5">
        <w:rPr>
          <w:rStyle w:val="ICBAbold"/>
          <w:b w:val="0"/>
          <w:color w:val="FF0000"/>
        </w:rPr>
        <w:t xml:space="preserve">] </w:t>
      </w:r>
      <w:r w:rsidR="004B2C0F">
        <w:rPr>
          <w:rStyle w:val="ICBAbold"/>
          <w:b w:val="0"/>
          <w:color w:val="000000" w:themeColor="text1"/>
        </w:rPr>
        <w:t>This year’s market rout takes us back decades</w:t>
      </w:r>
    </w:p>
    <w:p w14:paraId="15E4735A" w14:textId="65643AFD" w:rsidR="002D72FA" w:rsidRPr="003D49D5" w:rsidRDefault="007A6602" w:rsidP="003D49D5">
      <w:pPr>
        <w:tabs>
          <w:tab w:val="left" w:pos="540"/>
        </w:tabs>
        <w:spacing w:line="360" w:lineRule="auto"/>
        <w:rPr>
          <w:rStyle w:val="ICBAbold"/>
          <w:b w:val="0"/>
        </w:rPr>
      </w:pPr>
      <w:r w:rsidRPr="003D49D5">
        <w:rPr>
          <w:rStyle w:val="ICBAbold"/>
          <w:b w:val="0"/>
        </w:rPr>
        <w:t xml:space="preserve"> </w:t>
      </w:r>
    </w:p>
    <w:p w14:paraId="7829F42C" w14:textId="369DBED1" w:rsidR="002D72FA" w:rsidRPr="003D49D5" w:rsidRDefault="002D72FA" w:rsidP="003D49D5">
      <w:pPr>
        <w:tabs>
          <w:tab w:val="left" w:pos="540"/>
        </w:tabs>
        <w:spacing w:line="360" w:lineRule="auto"/>
        <w:rPr>
          <w:rStyle w:val="ICBAbold"/>
          <w:b w:val="0"/>
          <w:color w:val="FF0000"/>
        </w:rPr>
      </w:pPr>
      <w:r w:rsidRPr="003D49D5">
        <w:rPr>
          <w:rStyle w:val="ICBAbold"/>
          <w:b w:val="0"/>
          <w:color w:val="FF0000"/>
        </w:rPr>
        <w:t>[byline]</w:t>
      </w:r>
    </w:p>
    <w:p w14:paraId="5CAE2639" w14:textId="47B266CA" w:rsidR="003D49D5" w:rsidRPr="003D49D5" w:rsidRDefault="003D49D5" w:rsidP="003D49D5">
      <w:pPr>
        <w:tabs>
          <w:tab w:val="left" w:pos="540"/>
        </w:tabs>
        <w:spacing w:line="360" w:lineRule="auto"/>
        <w:rPr>
          <w:rStyle w:val="ICBAbold"/>
          <w:b w:val="0"/>
        </w:rPr>
      </w:pPr>
      <w:r>
        <w:rPr>
          <w:rStyle w:val="ICBAbold"/>
          <w:b w:val="0"/>
        </w:rPr>
        <w:t>By Jim Reber, ICBA Securities</w:t>
      </w:r>
    </w:p>
    <w:p w14:paraId="3D76A72A" w14:textId="4C0E5996" w:rsidR="002D72FA" w:rsidRPr="003D49D5" w:rsidRDefault="002D72FA" w:rsidP="003D49D5">
      <w:pPr>
        <w:tabs>
          <w:tab w:val="left" w:pos="540"/>
        </w:tabs>
        <w:spacing w:line="360" w:lineRule="auto"/>
        <w:rPr>
          <w:rStyle w:val="ICBAbold"/>
          <w:b w:val="0"/>
        </w:rPr>
      </w:pPr>
    </w:p>
    <w:p w14:paraId="0BF7DA84" w14:textId="010C9CF5" w:rsidR="009C7D32" w:rsidRDefault="009C7D32" w:rsidP="003D49D5">
      <w:pPr>
        <w:tabs>
          <w:tab w:val="left" w:pos="540"/>
        </w:tabs>
        <w:spacing w:line="360" w:lineRule="auto"/>
        <w:rPr>
          <w:rStyle w:val="ICBAbold"/>
          <w:b w:val="0"/>
          <w:color w:val="FF0000"/>
        </w:rPr>
      </w:pPr>
      <w:r w:rsidRPr="003D49D5">
        <w:rPr>
          <w:rStyle w:val="ICBAbold"/>
          <w:b w:val="0"/>
          <w:color w:val="FF0000"/>
        </w:rPr>
        <w:t>[body]</w:t>
      </w:r>
    </w:p>
    <w:p w14:paraId="00F8E2EA" w14:textId="26F733B0" w:rsidR="00691A17" w:rsidRDefault="00851069" w:rsidP="003D49D5">
      <w:pPr>
        <w:tabs>
          <w:tab w:val="left" w:pos="540"/>
        </w:tabs>
        <w:spacing w:line="360" w:lineRule="auto"/>
        <w:rPr>
          <w:rStyle w:val="ICBAbold"/>
          <w:b w:val="0"/>
        </w:rPr>
      </w:pPr>
      <w:r>
        <w:rPr>
          <w:rStyle w:val="ICBAbold"/>
          <w:b w:val="0"/>
        </w:rPr>
        <w:t xml:space="preserve">Holiday greetings! Let’s add to the </w:t>
      </w:r>
      <w:r w:rsidR="001D6D44">
        <w:rPr>
          <w:rStyle w:val="ICBAbold"/>
          <w:b w:val="0"/>
        </w:rPr>
        <w:t>spirit of the season</w:t>
      </w:r>
      <w:r>
        <w:rPr>
          <w:rStyle w:val="ICBAbold"/>
          <w:b w:val="0"/>
        </w:rPr>
        <w:t xml:space="preserve"> by discussing the people</w:t>
      </w:r>
      <w:r w:rsidR="0096028D">
        <w:rPr>
          <w:rStyle w:val="ICBAbold"/>
          <w:b w:val="0"/>
        </w:rPr>
        <w:t>’</w:t>
      </w:r>
      <w:r>
        <w:rPr>
          <w:rStyle w:val="ICBAbold"/>
          <w:b w:val="0"/>
        </w:rPr>
        <w:t xml:space="preserve">s choice for the </w:t>
      </w:r>
      <w:r w:rsidR="000C5840">
        <w:rPr>
          <w:rStyle w:val="ICBAbold"/>
          <w:b w:val="0"/>
        </w:rPr>
        <w:t xml:space="preserve">conversation of the year: interest rates. </w:t>
      </w:r>
    </w:p>
    <w:p w14:paraId="2D64B682" w14:textId="2E69A4B1" w:rsidR="000A6558" w:rsidRDefault="000C5840" w:rsidP="003D49D5">
      <w:pPr>
        <w:tabs>
          <w:tab w:val="left" w:pos="540"/>
        </w:tabs>
        <w:spacing w:line="360" w:lineRule="auto"/>
        <w:rPr>
          <w:rStyle w:val="ICBAbold"/>
          <w:b w:val="0"/>
        </w:rPr>
      </w:pPr>
      <w:r>
        <w:rPr>
          <w:rStyle w:val="ICBAbold"/>
          <w:b w:val="0"/>
        </w:rPr>
        <w:t xml:space="preserve">And </w:t>
      </w:r>
      <w:r w:rsidR="007521D7">
        <w:rPr>
          <w:rStyle w:val="ICBAbold"/>
          <w:b w:val="0"/>
        </w:rPr>
        <w:t>this isn’t</w:t>
      </w:r>
      <w:r>
        <w:rPr>
          <w:rStyle w:val="ICBAbold"/>
          <w:b w:val="0"/>
        </w:rPr>
        <w:t xml:space="preserve"> just any old rate discussion. We’re talking constant, may</w:t>
      </w:r>
      <w:r w:rsidR="00691A17">
        <w:rPr>
          <w:rStyle w:val="ICBAbold"/>
          <w:b w:val="0"/>
        </w:rPr>
        <w:t>-</w:t>
      </w:r>
      <w:r>
        <w:rPr>
          <w:rStyle w:val="ICBAbold"/>
          <w:b w:val="0"/>
        </w:rPr>
        <w:t>be</w:t>
      </w:r>
      <w:r w:rsidR="00691A17">
        <w:rPr>
          <w:rStyle w:val="ICBAbold"/>
          <w:b w:val="0"/>
        </w:rPr>
        <w:t>-</w:t>
      </w:r>
      <w:r>
        <w:rPr>
          <w:rStyle w:val="ICBAbold"/>
          <w:b w:val="0"/>
        </w:rPr>
        <w:t>getting</w:t>
      </w:r>
      <w:r w:rsidR="00691A17">
        <w:rPr>
          <w:rStyle w:val="ICBAbold"/>
          <w:b w:val="0"/>
        </w:rPr>
        <w:t>-</w:t>
      </w:r>
      <w:r>
        <w:rPr>
          <w:rStyle w:val="ICBAbold"/>
          <w:b w:val="0"/>
        </w:rPr>
        <w:t>worse, haven’t</w:t>
      </w:r>
      <w:r w:rsidR="00691A17">
        <w:rPr>
          <w:rStyle w:val="ICBAbold"/>
          <w:b w:val="0"/>
        </w:rPr>
        <w:t>-</w:t>
      </w:r>
      <w:r>
        <w:rPr>
          <w:rStyle w:val="ICBAbold"/>
          <w:b w:val="0"/>
        </w:rPr>
        <w:t>seen</w:t>
      </w:r>
      <w:r w:rsidR="00691A17">
        <w:rPr>
          <w:rStyle w:val="ICBAbold"/>
          <w:b w:val="0"/>
        </w:rPr>
        <w:t>-</w:t>
      </w:r>
      <w:r>
        <w:rPr>
          <w:rStyle w:val="ICBAbold"/>
          <w:b w:val="0"/>
        </w:rPr>
        <w:t>thi</w:t>
      </w:r>
      <w:r w:rsidR="00691A17">
        <w:rPr>
          <w:rStyle w:val="ICBAbold"/>
          <w:b w:val="0"/>
        </w:rPr>
        <w:t>s-</w:t>
      </w:r>
      <w:r>
        <w:rPr>
          <w:rStyle w:val="ICBAbold"/>
          <w:b w:val="0"/>
        </w:rPr>
        <w:t>in</w:t>
      </w:r>
      <w:r w:rsidR="00691A17">
        <w:rPr>
          <w:rStyle w:val="ICBAbold"/>
          <w:b w:val="0"/>
        </w:rPr>
        <w:t>-</w:t>
      </w:r>
      <w:r>
        <w:rPr>
          <w:rStyle w:val="ICBAbold"/>
          <w:b w:val="0"/>
        </w:rPr>
        <w:t>my</w:t>
      </w:r>
      <w:r w:rsidR="00691A17">
        <w:rPr>
          <w:rStyle w:val="ICBAbold"/>
          <w:b w:val="0"/>
        </w:rPr>
        <w:t>-</w:t>
      </w:r>
      <w:r>
        <w:rPr>
          <w:rStyle w:val="ICBAbold"/>
          <w:b w:val="0"/>
        </w:rPr>
        <w:t>career</w:t>
      </w:r>
      <w:r w:rsidR="001D6D44">
        <w:rPr>
          <w:rStyle w:val="ICBAbold"/>
          <w:b w:val="0"/>
        </w:rPr>
        <w:t>-</w:t>
      </w:r>
      <w:r>
        <w:rPr>
          <w:rStyle w:val="ICBAbold"/>
          <w:b w:val="0"/>
        </w:rPr>
        <w:t xml:space="preserve">type dialog. Heck, you know this has gone mainstream when the </w:t>
      </w:r>
      <w:r w:rsidR="007521D7">
        <w:rPr>
          <w:rStyle w:val="ICBAbold"/>
          <w:b w:val="0"/>
        </w:rPr>
        <w:t>person</w:t>
      </w:r>
      <w:r>
        <w:rPr>
          <w:rStyle w:val="ICBAbold"/>
          <w:b w:val="0"/>
        </w:rPr>
        <w:t xml:space="preserve"> who cuts my hair know</w:t>
      </w:r>
      <w:r w:rsidR="000A6558">
        <w:rPr>
          <w:rStyle w:val="ICBAbold"/>
          <w:b w:val="0"/>
        </w:rPr>
        <w:t>s</w:t>
      </w:r>
      <w:r>
        <w:rPr>
          <w:rStyle w:val="ICBAbold"/>
          <w:b w:val="0"/>
        </w:rPr>
        <w:t xml:space="preserve"> who Jay Powell is. Multiple surveys have pegged inflation as the number one issue among voters during this election year. </w:t>
      </w:r>
    </w:p>
    <w:p w14:paraId="06ACF517" w14:textId="4F9C9102" w:rsidR="000A6558" w:rsidRPr="00BD444F" w:rsidRDefault="000A6558" w:rsidP="003D49D5">
      <w:pPr>
        <w:tabs>
          <w:tab w:val="left" w:pos="540"/>
        </w:tabs>
        <w:spacing w:line="360" w:lineRule="auto"/>
        <w:rPr>
          <w:rStyle w:val="ICBAbold"/>
          <w:b w:val="0"/>
        </w:rPr>
      </w:pPr>
      <w:r>
        <w:rPr>
          <w:rStyle w:val="ICBAbold"/>
          <w:b w:val="0"/>
        </w:rPr>
        <w:t xml:space="preserve">Given all that’s gone on in the economy this year, let’s put a pencil to just what </w:t>
      </w:r>
      <w:r w:rsidR="005E4C05">
        <w:rPr>
          <w:rStyle w:val="ICBAbold"/>
          <w:b w:val="0"/>
        </w:rPr>
        <w:t xml:space="preserve">the </w:t>
      </w:r>
      <w:r>
        <w:rPr>
          <w:rStyle w:val="ICBAbold"/>
          <w:b w:val="0"/>
        </w:rPr>
        <w:t>aggressive tightening by the Fed has produced, both good and bad. Maybe,</w:t>
      </w:r>
      <w:r w:rsidR="00702F03">
        <w:rPr>
          <w:rStyle w:val="ICBAbold"/>
          <w:b w:val="0"/>
        </w:rPr>
        <w:t xml:space="preserve"> just maybe, a year from now we can talk about how an efficient market, such as our bond market, will both taketh and giveth, as long as we examine a sufficient</w:t>
      </w:r>
      <w:r w:rsidR="009166DD">
        <w:rPr>
          <w:rStyle w:val="ICBAbold"/>
          <w:b w:val="0"/>
        </w:rPr>
        <w:t>ly broad</w:t>
      </w:r>
      <w:r w:rsidR="00702F03">
        <w:rPr>
          <w:rStyle w:val="ICBAbold"/>
          <w:b w:val="0"/>
        </w:rPr>
        <w:t xml:space="preserve"> time frame. </w:t>
      </w:r>
    </w:p>
    <w:p w14:paraId="4A423A03" w14:textId="77777777" w:rsidR="00E33B63" w:rsidRPr="003D49D5" w:rsidRDefault="00E33B63" w:rsidP="003D49D5">
      <w:pPr>
        <w:tabs>
          <w:tab w:val="left" w:pos="540"/>
        </w:tabs>
        <w:spacing w:line="360" w:lineRule="auto"/>
        <w:rPr>
          <w:rStyle w:val="ICBAbold"/>
          <w:b w:val="0"/>
        </w:rPr>
      </w:pPr>
    </w:p>
    <w:p w14:paraId="188BF7EF" w14:textId="4BE786BD" w:rsidR="003653F6" w:rsidRDefault="009E1EFF" w:rsidP="003D49D5">
      <w:pPr>
        <w:tabs>
          <w:tab w:val="left" w:pos="540"/>
        </w:tabs>
        <w:spacing w:line="360" w:lineRule="auto"/>
        <w:rPr>
          <w:rStyle w:val="ICBAbold"/>
          <w:bCs/>
        </w:rPr>
      </w:pPr>
      <w:r w:rsidRPr="00531C4A">
        <w:rPr>
          <w:rStyle w:val="ICBAbold"/>
          <w:b w:val="0"/>
          <w:color w:val="FF0000"/>
        </w:rPr>
        <w:t>[</w:t>
      </w:r>
      <w:proofErr w:type="spellStart"/>
      <w:r w:rsidRPr="00531C4A">
        <w:rPr>
          <w:rStyle w:val="ICBAbold"/>
          <w:b w:val="0"/>
          <w:color w:val="FF0000"/>
        </w:rPr>
        <w:t>subhed</w:t>
      </w:r>
      <w:proofErr w:type="spellEnd"/>
      <w:r w:rsidRPr="00531C4A">
        <w:rPr>
          <w:rStyle w:val="ICBAbold"/>
          <w:b w:val="0"/>
          <w:color w:val="FF0000"/>
        </w:rPr>
        <w:t>]</w:t>
      </w:r>
      <w:r w:rsidR="00A04979">
        <w:rPr>
          <w:rStyle w:val="ICBAbold"/>
          <w:bCs/>
          <w:color w:val="FF0000"/>
        </w:rPr>
        <w:t xml:space="preserve"> </w:t>
      </w:r>
      <w:r w:rsidR="00702F03">
        <w:rPr>
          <w:rStyle w:val="ICBAbold"/>
          <w:bCs/>
        </w:rPr>
        <w:t>Bellwether year?</w:t>
      </w:r>
    </w:p>
    <w:p w14:paraId="2E15568C" w14:textId="231DA36D" w:rsidR="00522D05" w:rsidRDefault="00122C36" w:rsidP="003D49D5">
      <w:pPr>
        <w:tabs>
          <w:tab w:val="left" w:pos="540"/>
        </w:tabs>
        <w:spacing w:line="360" w:lineRule="auto"/>
        <w:rPr>
          <w:rStyle w:val="ICBAbold"/>
          <w:b w:val="0"/>
          <w:bCs/>
        </w:rPr>
      </w:pPr>
      <w:r>
        <w:rPr>
          <w:rStyle w:val="ICBAbold"/>
          <w:b w:val="0"/>
          <w:bCs/>
        </w:rPr>
        <w:t xml:space="preserve">The financial markets this year aren’t evoking the feel-good holiday music classics we’re used to hearing in December. It’s more like </w:t>
      </w:r>
      <w:r w:rsidR="0096028D">
        <w:rPr>
          <w:rStyle w:val="ICBAbold"/>
          <w:b w:val="0"/>
          <w:bCs/>
        </w:rPr>
        <w:t xml:space="preserve">Martha and </w:t>
      </w:r>
      <w:r>
        <w:rPr>
          <w:rStyle w:val="ICBAbold"/>
          <w:b w:val="0"/>
          <w:bCs/>
        </w:rPr>
        <w:t>the Vandella</w:t>
      </w:r>
      <w:r w:rsidR="007641DC">
        <w:rPr>
          <w:rStyle w:val="ICBAbold"/>
          <w:b w:val="0"/>
          <w:bCs/>
        </w:rPr>
        <w:t>s</w:t>
      </w:r>
      <w:r w:rsidR="0096028D">
        <w:rPr>
          <w:rStyle w:val="ICBAbold"/>
          <w:b w:val="0"/>
          <w:bCs/>
        </w:rPr>
        <w:t>’</w:t>
      </w:r>
      <w:r>
        <w:rPr>
          <w:rStyle w:val="ICBAbold"/>
          <w:b w:val="0"/>
          <w:bCs/>
        </w:rPr>
        <w:t xml:space="preserve"> “Nowhere to Run” from 1965. The benchmark for</w:t>
      </w:r>
      <w:r w:rsidR="00044D01">
        <w:rPr>
          <w:rStyle w:val="ICBAbold"/>
          <w:b w:val="0"/>
          <w:bCs/>
        </w:rPr>
        <w:t xml:space="preserve"> tracking</w:t>
      </w:r>
      <w:r>
        <w:rPr>
          <w:rStyle w:val="ICBAbold"/>
          <w:b w:val="0"/>
          <w:bCs/>
        </w:rPr>
        <w:t xml:space="preserve"> the bond market is the old Lehman Aggregate</w:t>
      </w:r>
      <w:r w:rsidR="007521D7">
        <w:rPr>
          <w:rStyle w:val="ICBAbold"/>
          <w:b w:val="0"/>
          <w:bCs/>
        </w:rPr>
        <w:t xml:space="preserve"> Bond</w:t>
      </w:r>
      <w:r>
        <w:rPr>
          <w:rStyle w:val="ICBAbold"/>
          <w:b w:val="0"/>
          <w:bCs/>
        </w:rPr>
        <w:t xml:space="preserve"> </w:t>
      </w:r>
      <w:r w:rsidR="007521D7">
        <w:rPr>
          <w:rStyle w:val="ICBAbold"/>
          <w:b w:val="0"/>
          <w:bCs/>
        </w:rPr>
        <w:t>I</w:t>
      </w:r>
      <w:r>
        <w:rPr>
          <w:rStyle w:val="ICBAbold"/>
          <w:b w:val="0"/>
          <w:bCs/>
        </w:rPr>
        <w:t xml:space="preserve">ndex, which now </w:t>
      </w:r>
      <w:r w:rsidR="00044D01">
        <w:rPr>
          <w:rStyle w:val="ICBAbold"/>
          <w:b w:val="0"/>
          <w:bCs/>
        </w:rPr>
        <w:t>known as the “Bloomberg Agg” in many circles. The index has some application to community bank bond portfolios</w:t>
      </w:r>
      <w:r w:rsidR="007521D7">
        <w:rPr>
          <w:rStyle w:val="ICBAbold"/>
          <w:b w:val="0"/>
          <w:bCs/>
        </w:rPr>
        <w:t>.</w:t>
      </w:r>
      <w:r w:rsidR="00044D01">
        <w:rPr>
          <w:rStyle w:val="ICBAbold"/>
          <w:b w:val="0"/>
          <w:bCs/>
        </w:rPr>
        <w:t xml:space="preserve"> </w:t>
      </w:r>
      <w:r w:rsidR="007521D7">
        <w:rPr>
          <w:rStyle w:val="ICBAbold"/>
          <w:b w:val="0"/>
          <w:bCs/>
        </w:rPr>
        <w:t>F</w:t>
      </w:r>
      <w:r w:rsidR="00044D01">
        <w:rPr>
          <w:rStyle w:val="ICBAbold"/>
          <w:b w:val="0"/>
          <w:bCs/>
        </w:rPr>
        <w:t xml:space="preserve">or example, it includes a number of sectors </w:t>
      </w:r>
      <w:r w:rsidR="0096028D">
        <w:rPr>
          <w:rStyle w:val="ICBAbold"/>
          <w:b w:val="0"/>
          <w:bCs/>
        </w:rPr>
        <w:t xml:space="preserve">that </w:t>
      </w:r>
      <w:r w:rsidR="00044D01">
        <w:rPr>
          <w:rStyle w:val="ICBAbold"/>
          <w:b w:val="0"/>
          <w:bCs/>
        </w:rPr>
        <w:t xml:space="preserve">banks own, </w:t>
      </w:r>
      <w:r w:rsidR="00044D01">
        <w:rPr>
          <w:rStyle w:val="ICBAbold"/>
          <w:b w:val="0"/>
          <w:bCs/>
        </w:rPr>
        <w:lastRenderedPageBreak/>
        <w:t xml:space="preserve">such as treasuries, agencies and mortgage-backed securities (MBS). </w:t>
      </w:r>
      <w:r w:rsidR="00522D05">
        <w:rPr>
          <w:rStyle w:val="ICBAbold"/>
          <w:b w:val="0"/>
          <w:bCs/>
        </w:rPr>
        <w:t>It’s not a perfect template, as there are more corporates and no tax-free munis in the index, but it’s still the best</w:t>
      </w:r>
      <w:r w:rsidR="0096028D">
        <w:rPr>
          <w:rStyle w:val="ICBAbold"/>
          <w:b w:val="0"/>
          <w:bCs/>
        </w:rPr>
        <w:t xml:space="preserve"> </w:t>
      </w:r>
      <w:r w:rsidR="00522D05">
        <w:rPr>
          <w:rStyle w:val="ICBAbold"/>
          <w:b w:val="0"/>
          <w:bCs/>
        </w:rPr>
        <w:t xml:space="preserve">known, most visible and deepest bond index available. </w:t>
      </w:r>
    </w:p>
    <w:p w14:paraId="152C9583" w14:textId="33757973" w:rsidR="00522D05" w:rsidRPr="007521D7" w:rsidRDefault="00522D05" w:rsidP="003D49D5">
      <w:pPr>
        <w:tabs>
          <w:tab w:val="left" w:pos="540"/>
        </w:tabs>
        <w:spacing w:line="360" w:lineRule="auto"/>
        <w:rPr>
          <w:rStyle w:val="ICBAbold"/>
          <w:b w:val="0"/>
          <w:bCs/>
        </w:rPr>
      </w:pPr>
      <w:r>
        <w:rPr>
          <w:rStyle w:val="ICBAbold"/>
          <w:b w:val="0"/>
          <w:bCs/>
        </w:rPr>
        <w:t xml:space="preserve">Through 11 months of 2022, the Bloomberg Agg is down </w:t>
      </w:r>
      <w:r w:rsidRPr="00E5313A">
        <w:rPr>
          <w:rStyle w:val="ICBAbold"/>
          <w:b w:val="0"/>
          <w:bCs/>
        </w:rPr>
        <w:t>14.5</w:t>
      </w:r>
      <w:r>
        <w:rPr>
          <w:rStyle w:val="ICBAbold"/>
          <w:b w:val="0"/>
          <w:bCs/>
        </w:rPr>
        <w:t>% on a total return basis. This is by far the worst year</w:t>
      </w:r>
      <w:r w:rsidR="001204C1">
        <w:rPr>
          <w:rStyle w:val="ICBAbold"/>
          <w:b w:val="0"/>
          <w:bCs/>
        </w:rPr>
        <w:t xml:space="preserve"> since at least 1990. In fact there wasn’t a single year in that era that had even a 5% loss. This is what happens when the Fed promises to </w:t>
      </w:r>
      <w:r w:rsidR="005E4C05">
        <w:rPr>
          <w:rStyle w:val="ICBAbold"/>
          <w:b w:val="0"/>
          <w:bCs/>
        </w:rPr>
        <w:t>get</w:t>
      </w:r>
      <w:r w:rsidR="001204C1">
        <w:rPr>
          <w:rStyle w:val="ICBAbold"/>
          <w:b w:val="0"/>
          <w:bCs/>
        </w:rPr>
        <w:t xml:space="preserve"> inflation </w:t>
      </w:r>
      <w:r w:rsidR="005E4C05">
        <w:rPr>
          <w:rStyle w:val="ICBAbold"/>
          <w:b w:val="0"/>
          <w:bCs/>
        </w:rPr>
        <w:t>back in</w:t>
      </w:r>
      <w:r w:rsidR="001204C1">
        <w:rPr>
          <w:rStyle w:val="ICBAbold"/>
          <w:b w:val="0"/>
          <w:bCs/>
        </w:rPr>
        <w:t xml:space="preserve"> its 2% box and makes little headway even as rates have risen well over </w:t>
      </w:r>
      <w:r w:rsidR="001D6D44">
        <w:rPr>
          <w:rStyle w:val="ICBAbold"/>
          <w:b w:val="0"/>
          <w:bCs/>
        </w:rPr>
        <w:t>300 basis points (3%)</w:t>
      </w:r>
      <w:r w:rsidR="001204C1">
        <w:rPr>
          <w:rStyle w:val="ICBAbold"/>
          <w:b w:val="0"/>
          <w:bCs/>
        </w:rPr>
        <w:t xml:space="preserve">. </w:t>
      </w:r>
      <w:r w:rsidR="001D6D44">
        <w:rPr>
          <w:rStyle w:val="ICBAbold"/>
          <w:b w:val="0"/>
          <w:bCs/>
        </w:rPr>
        <w:t>(</w:t>
      </w:r>
      <w:r w:rsidR="001204C1">
        <w:rPr>
          <w:rStyle w:val="ICBAbold"/>
          <w:b w:val="0"/>
          <w:bCs/>
        </w:rPr>
        <w:t xml:space="preserve">The index’s decline roughly mirrors the </w:t>
      </w:r>
      <w:r w:rsidR="001D6D44">
        <w:rPr>
          <w:rStyle w:val="ICBAbold"/>
          <w:b w:val="0"/>
          <w:bCs/>
        </w:rPr>
        <w:t>drop</w:t>
      </w:r>
      <w:r w:rsidR="001204C1">
        <w:rPr>
          <w:rStyle w:val="ICBAbold"/>
          <w:b w:val="0"/>
          <w:bCs/>
        </w:rPr>
        <w:t xml:space="preserve"> in community bank portfolio</w:t>
      </w:r>
      <w:r w:rsidR="005E4C05">
        <w:rPr>
          <w:rStyle w:val="ICBAbold"/>
          <w:b w:val="0"/>
          <w:bCs/>
        </w:rPr>
        <w:t xml:space="preserve"> market value</w:t>
      </w:r>
      <w:r w:rsidR="001204C1">
        <w:rPr>
          <w:rStyle w:val="ICBAbold"/>
          <w:b w:val="0"/>
          <w:bCs/>
        </w:rPr>
        <w:t>s.</w:t>
      </w:r>
      <w:r w:rsidR="001D6D44">
        <w:rPr>
          <w:rStyle w:val="ICBAbold"/>
          <w:b w:val="0"/>
          <w:bCs/>
        </w:rPr>
        <w:t>)</w:t>
      </w:r>
    </w:p>
    <w:p w14:paraId="66AC20A9" w14:textId="77777777" w:rsidR="001B7A03" w:rsidRPr="005D5B4F" w:rsidRDefault="001B7A03" w:rsidP="003D49D5">
      <w:pPr>
        <w:tabs>
          <w:tab w:val="left" w:pos="540"/>
        </w:tabs>
        <w:spacing w:line="360" w:lineRule="auto"/>
        <w:rPr>
          <w:rStyle w:val="ICBAbold"/>
          <w:b w:val="0"/>
          <w:bCs/>
        </w:rPr>
      </w:pPr>
    </w:p>
    <w:p w14:paraId="0F75976F" w14:textId="45AC2BF5" w:rsidR="005D5B4F" w:rsidRDefault="009E1EFF" w:rsidP="003D49D5">
      <w:pPr>
        <w:tabs>
          <w:tab w:val="left" w:pos="540"/>
        </w:tabs>
        <w:spacing w:line="360" w:lineRule="auto"/>
        <w:rPr>
          <w:rStyle w:val="ICBAbold"/>
          <w:bCs/>
        </w:rPr>
      </w:pPr>
      <w:r w:rsidRPr="00531C4A">
        <w:rPr>
          <w:rStyle w:val="ICBAbold"/>
          <w:b w:val="0"/>
          <w:color w:val="FF0000"/>
        </w:rPr>
        <w:t>[</w:t>
      </w:r>
      <w:proofErr w:type="spellStart"/>
      <w:r w:rsidRPr="00531C4A">
        <w:rPr>
          <w:rStyle w:val="ICBAbold"/>
          <w:b w:val="0"/>
          <w:color w:val="FF0000"/>
        </w:rPr>
        <w:t>subhed</w:t>
      </w:r>
      <w:proofErr w:type="spellEnd"/>
      <w:r w:rsidRPr="00531C4A">
        <w:rPr>
          <w:rStyle w:val="ICBAbold"/>
          <w:b w:val="0"/>
          <w:color w:val="FF0000"/>
        </w:rPr>
        <w:t>]</w:t>
      </w:r>
      <w:r w:rsidRPr="00531C4A">
        <w:rPr>
          <w:rStyle w:val="ICBAbold"/>
          <w:bCs/>
          <w:color w:val="FF0000"/>
        </w:rPr>
        <w:t xml:space="preserve"> </w:t>
      </w:r>
      <w:r w:rsidR="00702F03">
        <w:rPr>
          <w:rStyle w:val="ICBAbold"/>
          <w:bCs/>
        </w:rPr>
        <w:t>Impact on consumers</w:t>
      </w:r>
    </w:p>
    <w:p w14:paraId="520F74AD" w14:textId="24C2F128" w:rsidR="0076002B" w:rsidRDefault="001D6D44" w:rsidP="003D49D5">
      <w:pPr>
        <w:tabs>
          <w:tab w:val="left" w:pos="540"/>
        </w:tabs>
        <w:spacing w:line="360" w:lineRule="auto"/>
        <w:rPr>
          <w:rStyle w:val="ICBAbold"/>
          <w:b w:val="0"/>
          <w:bCs/>
        </w:rPr>
      </w:pPr>
      <w:r>
        <w:rPr>
          <w:rStyle w:val="ICBAbold"/>
          <w:b w:val="0"/>
          <w:bCs/>
        </w:rPr>
        <w:t xml:space="preserve">A </w:t>
      </w:r>
      <w:r w:rsidR="001204C1">
        <w:rPr>
          <w:rStyle w:val="ICBAbold"/>
          <w:b w:val="0"/>
          <w:bCs/>
        </w:rPr>
        <w:t>number of other sectors have</w:t>
      </w:r>
      <w:r>
        <w:rPr>
          <w:rStyle w:val="ICBAbold"/>
          <w:b w:val="0"/>
          <w:bCs/>
        </w:rPr>
        <w:t xml:space="preserve"> </w:t>
      </w:r>
      <w:r w:rsidR="001204C1">
        <w:rPr>
          <w:rStyle w:val="ICBAbold"/>
          <w:b w:val="0"/>
          <w:bCs/>
        </w:rPr>
        <w:t xml:space="preserve">been compromised by this rate shift. You may have noticed equity holdings have “corrected.” </w:t>
      </w:r>
      <w:r w:rsidR="0076002B">
        <w:rPr>
          <w:rStyle w:val="ICBAbold"/>
          <w:b w:val="0"/>
          <w:bCs/>
        </w:rPr>
        <w:t xml:space="preserve">It’s true that commodity prices, most visibly oil, have increased year-over-year, but those numbers have declined dramatically since May, </w:t>
      </w:r>
      <w:r w:rsidR="0096028D">
        <w:rPr>
          <w:rStyle w:val="ICBAbold"/>
          <w:b w:val="0"/>
          <w:bCs/>
        </w:rPr>
        <w:t xml:space="preserve">which </w:t>
      </w:r>
      <w:r w:rsidR="0076002B">
        <w:rPr>
          <w:rStyle w:val="ICBAbold"/>
          <w:b w:val="0"/>
          <w:bCs/>
        </w:rPr>
        <w:t>is a major reason many economists are projecting a durable recession for 2023.</w:t>
      </w:r>
    </w:p>
    <w:p w14:paraId="478C471B" w14:textId="1E00957A" w:rsidR="001204C1" w:rsidRPr="007521D7" w:rsidRDefault="0076002B" w:rsidP="003D49D5">
      <w:pPr>
        <w:tabs>
          <w:tab w:val="left" w:pos="540"/>
        </w:tabs>
        <w:spacing w:line="360" w:lineRule="auto"/>
        <w:rPr>
          <w:rStyle w:val="ICBAbold"/>
          <w:b w:val="0"/>
          <w:bCs/>
        </w:rPr>
      </w:pPr>
      <w:r>
        <w:rPr>
          <w:rStyle w:val="ICBAbold"/>
          <w:b w:val="0"/>
          <w:bCs/>
        </w:rPr>
        <w:t>And l</w:t>
      </w:r>
      <w:r w:rsidR="001204C1">
        <w:rPr>
          <w:rStyle w:val="ICBAbold"/>
          <w:b w:val="0"/>
          <w:bCs/>
        </w:rPr>
        <w:t xml:space="preserve">et’s not forget </w:t>
      </w:r>
      <w:r>
        <w:rPr>
          <w:rStyle w:val="ICBAbold"/>
          <w:b w:val="0"/>
          <w:bCs/>
        </w:rPr>
        <w:t>the beleaguered homebuyer.</w:t>
      </w:r>
      <w:r w:rsidR="00F53DD3">
        <w:rPr>
          <w:rStyle w:val="ICBAbold"/>
          <w:b w:val="0"/>
          <w:bCs/>
        </w:rPr>
        <w:t xml:space="preserve"> The pace of price increases cooled off in the second half of the year, but </w:t>
      </w:r>
      <w:r w:rsidR="0096028D">
        <w:rPr>
          <w:rStyle w:val="ICBAbold"/>
          <w:b w:val="0"/>
          <w:bCs/>
        </w:rPr>
        <w:t xml:space="preserve">they </w:t>
      </w:r>
      <w:r w:rsidR="00F53DD3">
        <w:rPr>
          <w:rStyle w:val="ICBAbold"/>
          <w:b w:val="0"/>
          <w:bCs/>
        </w:rPr>
        <w:t xml:space="preserve">were still up </w:t>
      </w:r>
      <w:r w:rsidR="0096028D">
        <w:rPr>
          <w:rStyle w:val="ICBAbold"/>
          <w:b w:val="0"/>
          <w:bCs/>
        </w:rPr>
        <w:t xml:space="preserve">by </w:t>
      </w:r>
      <w:r w:rsidR="00F53DD3">
        <w:rPr>
          <w:rStyle w:val="ICBAbold"/>
          <w:b w:val="0"/>
          <w:bCs/>
        </w:rPr>
        <w:t>double</w:t>
      </w:r>
      <w:r w:rsidR="0096028D">
        <w:rPr>
          <w:rStyle w:val="ICBAbold"/>
          <w:b w:val="0"/>
          <w:bCs/>
        </w:rPr>
        <w:t xml:space="preserve"> </w:t>
      </w:r>
      <w:r w:rsidR="00F53DD3">
        <w:rPr>
          <w:rStyle w:val="ICBAbold"/>
          <w:b w:val="0"/>
          <w:bCs/>
        </w:rPr>
        <w:t>digits in 2022. Mortgage rates, as have been</w:t>
      </w:r>
      <w:r w:rsidR="00F874A8">
        <w:rPr>
          <w:rStyle w:val="ICBAbold"/>
          <w:b w:val="0"/>
          <w:bCs/>
        </w:rPr>
        <w:t xml:space="preserve"> </w:t>
      </w:r>
      <w:r w:rsidR="007641DC">
        <w:rPr>
          <w:rStyle w:val="ICBAbold"/>
          <w:b w:val="0"/>
          <w:bCs/>
        </w:rPr>
        <w:t>well</w:t>
      </w:r>
      <w:r w:rsidR="0096028D">
        <w:rPr>
          <w:rStyle w:val="ICBAbold"/>
          <w:b w:val="0"/>
          <w:bCs/>
        </w:rPr>
        <w:t xml:space="preserve"> </w:t>
      </w:r>
      <w:r w:rsidR="00F874A8">
        <w:rPr>
          <w:rStyle w:val="ICBAbold"/>
          <w:b w:val="0"/>
          <w:bCs/>
        </w:rPr>
        <w:t>reported, have more than doubled. Taken together, the average</w:t>
      </w:r>
      <w:r w:rsidR="0096028D">
        <w:rPr>
          <w:rStyle w:val="ICBAbold"/>
          <w:b w:val="0"/>
          <w:bCs/>
        </w:rPr>
        <w:t>-</w:t>
      </w:r>
      <w:r w:rsidR="00F874A8">
        <w:rPr>
          <w:rStyle w:val="ICBAbold"/>
          <w:b w:val="0"/>
          <w:bCs/>
        </w:rPr>
        <w:t xml:space="preserve">priced home </w:t>
      </w:r>
      <w:r w:rsidR="005E4C05">
        <w:rPr>
          <w:rStyle w:val="ICBAbold"/>
          <w:b w:val="0"/>
          <w:bCs/>
        </w:rPr>
        <w:t xml:space="preserve">late in 2022 </w:t>
      </w:r>
      <w:r w:rsidR="00F874A8">
        <w:rPr>
          <w:rStyle w:val="ICBAbold"/>
          <w:b w:val="0"/>
          <w:bCs/>
        </w:rPr>
        <w:t xml:space="preserve">produced a P&amp;I payment of </w:t>
      </w:r>
      <w:r w:rsidR="000533F2" w:rsidRPr="006D0B7C">
        <w:rPr>
          <w:rStyle w:val="ICBAbold"/>
          <w:b w:val="0"/>
          <w:bCs/>
          <w:i/>
        </w:rPr>
        <w:t>52%</w:t>
      </w:r>
      <w:r w:rsidR="000533F2">
        <w:rPr>
          <w:rStyle w:val="ICBAbold"/>
          <w:b w:val="0"/>
          <w:bCs/>
        </w:rPr>
        <w:t xml:space="preserve"> higher than the start of the year. This factoid alone </w:t>
      </w:r>
      <w:r w:rsidR="00277F2B">
        <w:rPr>
          <w:rStyle w:val="ICBAbold"/>
          <w:b w:val="0"/>
          <w:bCs/>
        </w:rPr>
        <w:t>could well</w:t>
      </w:r>
      <w:r w:rsidR="000533F2">
        <w:rPr>
          <w:rStyle w:val="ICBAbold"/>
          <w:b w:val="0"/>
          <w:bCs/>
        </w:rPr>
        <w:t xml:space="preserve"> cool down the housing market. </w:t>
      </w:r>
      <w:r w:rsidR="005E4C05">
        <w:rPr>
          <w:rStyle w:val="ICBAbold"/>
          <w:b w:val="0"/>
          <w:bCs/>
        </w:rPr>
        <w:t>Housing s</w:t>
      </w:r>
      <w:r w:rsidR="000533F2">
        <w:rPr>
          <w:rStyle w:val="ICBAbold"/>
          <w:b w:val="0"/>
          <w:bCs/>
        </w:rPr>
        <w:t xml:space="preserve">upplies are also finally catching up to pre-pandemic levels. </w:t>
      </w:r>
    </w:p>
    <w:p w14:paraId="10EDD471" w14:textId="77777777" w:rsidR="001B7A03" w:rsidRDefault="001B7A03" w:rsidP="003D49D5">
      <w:pPr>
        <w:tabs>
          <w:tab w:val="left" w:pos="540"/>
        </w:tabs>
        <w:spacing w:line="360" w:lineRule="auto"/>
        <w:rPr>
          <w:rStyle w:val="ICBAbold"/>
          <w:bCs/>
        </w:rPr>
      </w:pPr>
    </w:p>
    <w:p w14:paraId="13DA7F2B" w14:textId="4173372B" w:rsidR="001B7A03" w:rsidRDefault="001B7A03" w:rsidP="001B7A03">
      <w:pPr>
        <w:tabs>
          <w:tab w:val="left" w:pos="540"/>
        </w:tabs>
        <w:spacing w:line="360" w:lineRule="auto"/>
        <w:rPr>
          <w:rStyle w:val="ICBAbold"/>
          <w:bCs/>
        </w:rPr>
      </w:pPr>
      <w:r w:rsidRPr="00531C4A">
        <w:rPr>
          <w:rStyle w:val="ICBAbold"/>
          <w:b w:val="0"/>
          <w:color w:val="FF0000"/>
        </w:rPr>
        <w:t>[</w:t>
      </w:r>
      <w:proofErr w:type="spellStart"/>
      <w:r w:rsidRPr="00531C4A">
        <w:rPr>
          <w:rStyle w:val="ICBAbold"/>
          <w:b w:val="0"/>
          <w:color w:val="FF0000"/>
        </w:rPr>
        <w:t>subhed</w:t>
      </w:r>
      <w:proofErr w:type="spellEnd"/>
      <w:r w:rsidRPr="00531C4A">
        <w:rPr>
          <w:rStyle w:val="ICBAbold"/>
          <w:b w:val="0"/>
          <w:color w:val="FF0000"/>
        </w:rPr>
        <w:t>]</w:t>
      </w:r>
      <w:r>
        <w:rPr>
          <w:rStyle w:val="ICBAbold"/>
          <w:bCs/>
          <w:color w:val="FF0000"/>
        </w:rPr>
        <w:t xml:space="preserve"> </w:t>
      </w:r>
      <w:r w:rsidR="00702F03">
        <w:rPr>
          <w:rStyle w:val="ICBAbold"/>
          <w:bCs/>
        </w:rPr>
        <w:t>Retrospectives</w:t>
      </w:r>
      <w:r>
        <w:rPr>
          <w:rStyle w:val="ICBAbold"/>
          <w:bCs/>
        </w:rPr>
        <w:t xml:space="preserve"> </w:t>
      </w:r>
    </w:p>
    <w:p w14:paraId="696F2A10" w14:textId="25C27558" w:rsidR="007C433D" w:rsidRDefault="00277F2B" w:rsidP="001B7A03">
      <w:pPr>
        <w:tabs>
          <w:tab w:val="left" w:pos="540"/>
        </w:tabs>
        <w:spacing w:line="360" w:lineRule="auto"/>
        <w:rPr>
          <w:rStyle w:val="ICBAbold"/>
          <w:b w:val="0"/>
          <w:bCs/>
        </w:rPr>
      </w:pPr>
      <w:r>
        <w:rPr>
          <w:rStyle w:val="ICBAbold"/>
          <w:b w:val="0"/>
          <w:bCs/>
        </w:rPr>
        <w:t>And now</w:t>
      </w:r>
      <w:r w:rsidR="007521D7">
        <w:rPr>
          <w:rStyle w:val="ICBAbold"/>
          <w:b w:val="0"/>
          <w:bCs/>
        </w:rPr>
        <w:t xml:space="preserve"> </w:t>
      </w:r>
      <w:r>
        <w:rPr>
          <w:rStyle w:val="ICBAbold"/>
          <w:b w:val="0"/>
          <w:bCs/>
        </w:rPr>
        <w:t>…</w:t>
      </w:r>
      <w:r w:rsidR="007521D7">
        <w:rPr>
          <w:rStyle w:val="ICBAbold"/>
          <w:b w:val="0"/>
          <w:bCs/>
        </w:rPr>
        <w:t xml:space="preserve"> </w:t>
      </w:r>
      <w:r>
        <w:rPr>
          <w:rStyle w:val="ICBAbold"/>
          <w:b w:val="0"/>
          <w:bCs/>
        </w:rPr>
        <w:t>wait for it</w:t>
      </w:r>
      <w:r w:rsidR="007521D7">
        <w:rPr>
          <w:rStyle w:val="ICBAbold"/>
          <w:b w:val="0"/>
          <w:bCs/>
        </w:rPr>
        <w:t xml:space="preserve"> </w:t>
      </w:r>
      <w:r>
        <w:rPr>
          <w:rStyle w:val="ICBAbold"/>
          <w:b w:val="0"/>
          <w:bCs/>
        </w:rPr>
        <w:t>…</w:t>
      </w:r>
      <w:r w:rsidR="006A4AED">
        <w:rPr>
          <w:rStyle w:val="ICBAbold"/>
          <w:b w:val="0"/>
          <w:bCs/>
        </w:rPr>
        <w:t xml:space="preserve"> </w:t>
      </w:r>
      <w:r>
        <w:rPr>
          <w:rStyle w:val="ICBAbold"/>
          <w:b w:val="0"/>
          <w:bCs/>
        </w:rPr>
        <w:t>the good news. Or at least, a look-back to the rate environments that ensued after aggressive rate hikes by our central bank. We will use the 2000/01 and 2007/08 periods in this discussion</w:t>
      </w:r>
      <w:r w:rsidR="0096028D">
        <w:rPr>
          <w:rStyle w:val="ICBAbold"/>
          <w:b w:val="0"/>
          <w:bCs/>
        </w:rPr>
        <w:t>,</w:t>
      </w:r>
      <w:r>
        <w:rPr>
          <w:rStyle w:val="ICBAbold"/>
          <w:b w:val="0"/>
          <w:bCs/>
        </w:rPr>
        <w:t xml:space="preserve"> as they </w:t>
      </w:r>
      <w:r w:rsidR="001D6D44">
        <w:rPr>
          <w:rStyle w:val="ICBAbold"/>
          <w:b w:val="0"/>
          <w:bCs/>
        </w:rPr>
        <w:t>share</w:t>
      </w:r>
      <w:r>
        <w:rPr>
          <w:rStyle w:val="ICBAbold"/>
          <w:b w:val="0"/>
          <w:bCs/>
        </w:rPr>
        <w:t xml:space="preserve"> several criteria. Both times</w:t>
      </w:r>
      <w:r w:rsidR="0096028D">
        <w:rPr>
          <w:rStyle w:val="ICBAbold"/>
          <w:b w:val="0"/>
          <w:bCs/>
        </w:rPr>
        <w:t>,</w:t>
      </w:r>
      <w:r>
        <w:rPr>
          <w:rStyle w:val="ICBAbold"/>
          <w:b w:val="0"/>
          <w:bCs/>
        </w:rPr>
        <w:t xml:space="preserve"> the Fed engineered multiple rate hikes to get inflation under control. </w:t>
      </w:r>
      <w:r w:rsidR="001D6D44">
        <w:rPr>
          <w:rStyle w:val="ICBAbold"/>
          <w:b w:val="0"/>
          <w:bCs/>
        </w:rPr>
        <w:t>Another</w:t>
      </w:r>
      <w:r w:rsidR="005E4C05">
        <w:rPr>
          <w:rStyle w:val="ICBAbold"/>
          <w:b w:val="0"/>
          <w:bCs/>
        </w:rPr>
        <w:t xml:space="preserve"> common trait is they stopped out at levels that we haven’t seen since</w:t>
      </w:r>
      <w:r w:rsidR="007521D7">
        <w:rPr>
          <w:rStyle w:val="ICBAbold"/>
          <w:b w:val="0"/>
          <w:bCs/>
        </w:rPr>
        <w:t xml:space="preserve"> </w:t>
      </w:r>
      <w:r w:rsidR="007C433D">
        <w:rPr>
          <w:rStyle w:val="ICBAbold"/>
          <w:b w:val="0"/>
          <w:bCs/>
        </w:rPr>
        <w:t>the</w:t>
      </w:r>
      <w:r w:rsidR="005E4C05">
        <w:rPr>
          <w:rStyle w:val="ICBAbold"/>
          <w:b w:val="0"/>
          <w:bCs/>
        </w:rPr>
        <w:t xml:space="preserve"> 6% range. So</w:t>
      </w:r>
      <w:r w:rsidR="0096028D">
        <w:rPr>
          <w:rStyle w:val="ICBAbold"/>
          <w:b w:val="0"/>
          <w:bCs/>
        </w:rPr>
        <w:t>,</w:t>
      </w:r>
      <w:r w:rsidR="005E4C05">
        <w:rPr>
          <w:rStyle w:val="ICBAbold"/>
          <w:b w:val="0"/>
          <w:bCs/>
        </w:rPr>
        <w:t xml:space="preserve"> what did the phase</w:t>
      </w:r>
      <w:r w:rsidR="007C433D">
        <w:rPr>
          <w:rStyle w:val="ICBAbold"/>
          <w:b w:val="0"/>
          <w:bCs/>
        </w:rPr>
        <w:t>s</w:t>
      </w:r>
      <w:r w:rsidR="005E4C05">
        <w:rPr>
          <w:rStyle w:val="ICBAbold"/>
          <w:b w:val="0"/>
          <w:bCs/>
        </w:rPr>
        <w:t xml:space="preserve"> that followed look like?</w:t>
      </w:r>
    </w:p>
    <w:p w14:paraId="64152895" w14:textId="51BE1C1A" w:rsidR="007C433D" w:rsidRDefault="007C433D" w:rsidP="001B7A03">
      <w:pPr>
        <w:tabs>
          <w:tab w:val="left" w:pos="540"/>
        </w:tabs>
        <w:spacing w:line="360" w:lineRule="auto"/>
        <w:rPr>
          <w:rStyle w:val="ICBAbold"/>
          <w:b w:val="0"/>
          <w:bCs/>
        </w:rPr>
      </w:pPr>
      <w:r>
        <w:rPr>
          <w:rStyle w:val="ICBAbold"/>
          <w:b w:val="0"/>
          <w:bCs/>
        </w:rPr>
        <w:t xml:space="preserve">From early 2000 to mid-2001, </w:t>
      </w:r>
      <w:r w:rsidR="001D6D44">
        <w:rPr>
          <w:rStyle w:val="ICBAbold"/>
          <w:b w:val="0"/>
          <w:bCs/>
        </w:rPr>
        <w:t>c</w:t>
      </w:r>
      <w:r>
        <w:rPr>
          <w:rStyle w:val="ICBAbold"/>
          <w:b w:val="0"/>
          <w:bCs/>
        </w:rPr>
        <w:t xml:space="preserve">ore </w:t>
      </w:r>
      <w:r w:rsidR="00113738">
        <w:rPr>
          <w:rStyle w:val="ICBAbold"/>
          <w:b w:val="0"/>
          <w:bCs/>
        </w:rPr>
        <w:t>PC</w:t>
      </w:r>
      <w:r>
        <w:rPr>
          <w:rStyle w:val="ICBAbold"/>
          <w:b w:val="0"/>
          <w:bCs/>
        </w:rPr>
        <w:t xml:space="preserve">E rose about 0.6%, to about 2.1% annually. Economic activity had begun to slow, thanks in no small part to fed funds reaching 6.5% in 2000. The Fed </w:t>
      </w:r>
      <w:r w:rsidR="001D6D44">
        <w:rPr>
          <w:rStyle w:val="ICBAbold"/>
          <w:b w:val="0"/>
          <w:bCs/>
        </w:rPr>
        <w:t>then</w:t>
      </w:r>
      <w:r>
        <w:rPr>
          <w:rStyle w:val="ICBAbold"/>
          <w:b w:val="0"/>
          <w:bCs/>
        </w:rPr>
        <w:t xml:space="preserve"> cut rates all the way to 3.5% even </w:t>
      </w:r>
      <w:r w:rsidRPr="007C433D">
        <w:rPr>
          <w:rStyle w:val="ICBAbold"/>
          <w:b w:val="0"/>
          <w:bCs/>
          <w:i/>
        </w:rPr>
        <w:t>before</w:t>
      </w:r>
      <w:r>
        <w:rPr>
          <w:rStyle w:val="ICBAbold"/>
          <w:b w:val="0"/>
          <w:bCs/>
        </w:rPr>
        <w:t xml:space="preserve"> the events of 9</w:t>
      </w:r>
      <w:r w:rsidR="007521D7">
        <w:rPr>
          <w:rStyle w:val="ICBAbold"/>
          <w:b w:val="0"/>
          <w:bCs/>
        </w:rPr>
        <w:t>/</w:t>
      </w:r>
      <w:r>
        <w:rPr>
          <w:rStyle w:val="ICBAbold"/>
          <w:b w:val="0"/>
          <w:bCs/>
        </w:rPr>
        <w:t xml:space="preserve">11. The upheaval that followed produced a run of inflation well below 2% all the way into 2004, even with fed funds as low as </w:t>
      </w:r>
      <w:r>
        <w:rPr>
          <w:rStyle w:val="ICBAbold"/>
          <w:b w:val="0"/>
          <w:bCs/>
        </w:rPr>
        <w:lastRenderedPageBreak/>
        <w:t xml:space="preserve">1%. </w:t>
      </w:r>
      <w:r w:rsidR="001D6D44">
        <w:rPr>
          <w:rStyle w:val="ICBAbold"/>
          <w:b w:val="0"/>
          <w:bCs/>
        </w:rPr>
        <w:t>W</w:t>
      </w:r>
      <w:r>
        <w:rPr>
          <w:rStyle w:val="ICBAbold"/>
          <w:b w:val="0"/>
          <w:bCs/>
        </w:rPr>
        <w:t xml:space="preserve">e can say that the stout medicine from high fed funds was at least partly </w:t>
      </w:r>
      <w:r w:rsidR="00921A8A">
        <w:rPr>
          <w:rStyle w:val="ICBAbold"/>
          <w:b w:val="0"/>
          <w:bCs/>
        </w:rPr>
        <w:t>responsible for</w:t>
      </w:r>
      <w:r>
        <w:rPr>
          <w:rStyle w:val="ICBAbold"/>
          <w:b w:val="0"/>
          <w:bCs/>
        </w:rPr>
        <w:t xml:space="preserve"> returning inflation to its target.</w:t>
      </w:r>
    </w:p>
    <w:p w14:paraId="269E90D9" w14:textId="6725E278" w:rsidR="00A438D2" w:rsidRDefault="007C433D" w:rsidP="001B7A03">
      <w:pPr>
        <w:tabs>
          <w:tab w:val="left" w:pos="540"/>
        </w:tabs>
        <w:spacing w:line="360" w:lineRule="auto"/>
        <w:rPr>
          <w:rStyle w:val="ICBAbold"/>
          <w:b w:val="0"/>
          <w:bCs/>
        </w:rPr>
      </w:pPr>
      <w:r>
        <w:rPr>
          <w:rStyle w:val="ICBAbold"/>
          <w:b w:val="0"/>
          <w:bCs/>
        </w:rPr>
        <w:t xml:space="preserve">Much the same happened in the </w:t>
      </w:r>
      <w:r w:rsidR="0096028D">
        <w:rPr>
          <w:rStyle w:val="ICBAbold"/>
          <w:b w:val="0"/>
          <w:bCs/>
        </w:rPr>
        <w:t>2007</w:t>
      </w:r>
      <w:r>
        <w:rPr>
          <w:rStyle w:val="ICBAbold"/>
          <w:b w:val="0"/>
          <w:bCs/>
        </w:rPr>
        <w:t>/08 period.</w:t>
      </w:r>
      <w:r w:rsidR="008960B2">
        <w:rPr>
          <w:rStyle w:val="ICBAbold"/>
          <w:b w:val="0"/>
          <w:bCs/>
        </w:rPr>
        <w:t xml:space="preserve"> Core PCE spen</w:t>
      </w:r>
      <w:r w:rsidR="00A438D2">
        <w:rPr>
          <w:rStyle w:val="ICBAbold"/>
          <w:b w:val="0"/>
          <w:bCs/>
        </w:rPr>
        <w:t>t</w:t>
      </w:r>
      <w:r w:rsidR="008960B2">
        <w:rPr>
          <w:rStyle w:val="ICBAbold"/>
          <w:b w:val="0"/>
          <w:bCs/>
        </w:rPr>
        <w:t xml:space="preserve"> the better part of that era over 2%</w:t>
      </w:r>
      <w:r w:rsidR="0096028D">
        <w:rPr>
          <w:rStyle w:val="ICBAbold"/>
          <w:b w:val="0"/>
          <w:bCs/>
        </w:rPr>
        <w:t>,</w:t>
      </w:r>
      <w:r w:rsidR="008960B2">
        <w:rPr>
          <w:rStyle w:val="ICBAbold"/>
          <w:b w:val="0"/>
          <w:bCs/>
        </w:rPr>
        <w:t xml:space="preserve"> as the housing market, notably, was overheating on its way to the historic meltdown. The Fed again pushed overnight rates as high as 5.25% before the Great Recession that began in 2007. PCE didn’t rise back up the target level again until the end of 2011. </w:t>
      </w:r>
      <w:r w:rsidR="00113738">
        <w:rPr>
          <w:rStyle w:val="ICBAbold"/>
          <w:b w:val="0"/>
          <w:bCs/>
        </w:rPr>
        <w:t xml:space="preserve">Bond market returns for that multi-year period were above long-term averages. </w:t>
      </w:r>
    </w:p>
    <w:p w14:paraId="52E22635" w14:textId="370147AA" w:rsidR="00691A17" w:rsidRDefault="00A438D2" w:rsidP="001B7A03">
      <w:pPr>
        <w:tabs>
          <w:tab w:val="left" w:pos="540"/>
        </w:tabs>
        <w:spacing w:line="360" w:lineRule="auto"/>
        <w:rPr>
          <w:rStyle w:val="ICBAbold"/>
          <w:b w:val="0"/>
          <w:bCs/>
        </w:rPr>
      </w:pPr>
      <w:r>
        <w:rPr>
          <w:rStyle w:val="ICBAbold"/>
          <w:b w:val="0"/>
          <w:bCs/>
        </w:rPr>
        <w:t xml:space="preserve">Does past experience foretell future results? Of course not. But there is reason to recall that rough patches in the bond market are followed, sometimes in short order, with a return to more </w:t>
      </w:r>
      <w:r w:rsidR="00113738">
        <w:rPr>
          <w:rStyle w:val="ICBAbold"/>
          <w:b w:val="0"/>
          <w:bCs/>
        </w:rPr>
        <w:t>typical</w:t>
      </w:r>
      <w:r>
        <w:rPr>
          <w:rStyle w:val="ICBAbold"/>
          <w:b w:val="0"/>
          <w:bCs/>
        </w:rPr>
        <w:t xml:space="preserve"> circumstances. A normally</w:t>
      </w:r>
      <w:r w:rsidR="0096028D">
        <w:rPr>
          <w:rStyle w:val="ICBAbold"/>
          <w:b w:val="0"/>
          <w:bCs/>
        </w:rPr>
        <w:t xml:space="preserve"> </w:t>
      </w:r>
      <w:r>
        <w:rPr>
          <w:rStyle w:val="ICBAbold"/>
          <w:b w:val="0"/>
          <w:bCs/>
        </w:rPr>
        <w:t xml:space="preserve">sloped curve and positive real yields are still the norm, if elusive in the current environment. More on this to follow as we embark on a </w:t>
      </w:r>
      <w:r w:rsidR="007521D7">
        <w:rPr>
          <w:rStyle w:val="ICBAbold"/>
          <w:b w:val="0"/>
          <w:bCs/>
        </w:rPr>
        <w:t>n</w:t>
      </w:r>
      <w:r>
        <w:rPr>
          <w:rStyle w:val="ICBAbold"/>
          <w:b w:val="0"/>
          <w:bCs/>
        </w:rPr>
        <w:t xml:space="preserve">ew </w:t>
      </w:r>
      <w:r w:rsidR="007521D7">
        <w:rPr>
          <w:rStyle w:val="ICBAbold"/>
          <w:b w:val="0"/>
          <w:bCs/>
        </w:rPr>
        <w:t>y</w:t>
      </w:r>
      <w:r>
        <w:rPr>
          <w:rStyle w:val="ICBAbold"/>
          <w:b w:val="0"/>
          <w:bCs/>
        </w:rPr>
        <w:t xml:space="preserve">ear. </w:t>
      </w:r>
    </w:p>
    <w:p w14:paraId="5070BDD1" w14:textId="59BD87C1" w:rsidR="00AF6983" w:rsidRDefault="00691A17" w:rsidP="001B7A03">
      <w:pPr>
        <w:tabs>
          <w:tab w:val="left" w:pos="540"/>
        </w:tabs>
        <w:spacing w:line="360" w:lineRule="auto"/>
        <w:rPr>
          <w:rStyle w:val="ICBAbold"/>
          <w:b w:val="0"/>
          <w:bCs/>
        </w:rPr>
      </w:pPr>
      <w:r>
        <w:rPr>
          <w:rStyle w:val="ICBAbold"/>
          <w:b w:val="0"/>
          <w:bCs/>
        </w:rPr>
        <w:t>Cheers!</w:t>
      </w:r>
    </w:p>
    <w:p w14:paraId="7B4FF95D" w14:textId="77777777" w:rsidR="00055B01" w:rsidRDefault="00055B01" w:rsidP="003D49D5">
      <w:pPr>
        <w:tabs>
          <w:tab w:val="left" w:pos="540"/>
        </w:tabs>
        <w:spacing w:line="360" w:lineRule="auto"/>
        <w:rPr>
          <w:color w:val="000000" w:themeColor="text1"/>
        </w:rPr>
      </w:pPr>
    </w:p>
    <w:p w14:paraId="6E0B3AC9" w14:textId="517F4028" w:rsidR="003D49D5" w:rsidRPr="009B4A7A" w:rsidRDefault="003D49D5" w:rsidP="003D49D5">
      <w:pPr>
        <w:tabs>
          <w:tab w:val="left" w:pos="540"/>
        </w:tabs>
        <w:spacing w:line="360" w:lineRule="auto"/>
        <w:rPr>
          <w:b/>
          <w:bCs/>
          <w:iCs/>
        </w:rPr>
      </w:pPr>
      <w:r w:rsidRPr="005F77C9">
        <w:rPr>
          <w:rStyle w:val="ICBAbold"/>
          <w:iCs/>
        </w:rPr>
        <w:t>Jim Reber</w:t>
      </w:r>
      <w:r w:rsidRPr="00920512">
        <w:rPr>
          <w:iCs/>
        </w:rPr>
        <w:t xml:space="preserve"> </w:t>
      </w:r>
      <w:r w:rsidRPr="009B4A7A">
        <w:rPr>
          <w:b/>
          <w:bCs/>
          <w:iCs/>
        </w:rPr>
        <w:t>(</w:t>
      </w:r>
      <w:hyperlink r:id="rId6" w:history="1">
        <w:r w:rsidRPr="009B4A7A">
          <w:rPr>
            <w:rStyle w:val="Hyperlink"/>
            <w:b/>
            <w:bCs/>
            <w:i/>
          </w:rPr>
          <w:t>jreber@icbasecurities.com</w:t>
        </w:r>
      </w:hyperlink>
      <w:r w:rsidRPr="009B4A7A">
        <w:rPr>
          <w:b/>
          <w:bCs/>
          <w:iCs/>
        </w:rPr>
        <w:t xml:space="preserve">) is president and CEO of ICBA Securities, ICBA’s institutional, fixed-income broker-dealer for community banks. </w:t>
      </w:r>
    </w:p>
    <w:p w14:paraId="3BC940F3" w14:textId="04C698B0" w:rsidR="003D49D5" w:rsidRDefault="00C56651" w:rsidP="003D49D5">
      <w:pPr>
        <w:tabs>
          <w:tab w:val="left" w:pos="540"/>
        </w:tabs>
        <w:spacing w:line="360" w:lineRule="auto"/>
        <w:rPr>
          <w:rStyle w:val="ICBAbold"/>
          <w:b w:val="0"/>
          <w:color w:val="FF0000"/>
        </w:rPr>
      </w:pPr>
      <w:r w:rsidRPr="005F77C9">
        <w:rPr>
          <w:rStyle w:val="ICBAbold"/>
          <w:b w:val="0"/>
          <w:color w:val="FF0000"/>
        </w:rPr>
        <w:t>[ends]</w:t>
      </w:r>
      <w:bookmarkEnd w:id="0"/>
    </w:p>
    <w:p w14:paraId="51DC578D" w14:textId="0D179E3B" w:rsidR="00F156C0" w:rsidRDefault="00F156C0" w:rsidP="003D49D5">
      <w:pPr>
        <w:tabs>
          <w:tab w:val="left" w:pos="540"/>
        </w:tabs>
        <w:spacing w:line="360" w:lineRule="auto"/>
        <w:rPr>
          <w:rStyle w:val="ICBAbold"/>
          <w:b w:val="0"/>
          <w:color w:val="FF0000"/>
        </w:rPr>
      </w:pPr>
    </w:p>
    <w:p w14:paraId="5E1E0763" w14:textId="21BF7156" w:rsidR="00F156C0" w:rsidRDefault="00F156C0" w:rsidP="003D49D5">
      <w:pPr>
        <w:tabs>
          <w:tab w:val="left" w:pos="540"/>
        </w:tabs>
        <w:spacing w:line="360" w:lineRule="auto"/>
        <w:rPr>
          <w:rStyle w:val="ICBAbold"/>
          <w:b w:val="0"/>
          <w:color w:val="FF0000"/>
        </w:rPr>
      </w:pPr>
      <w:r>
        <w:rPr>
          <w:rStyle w:val="ICBAbold"/>
          <w:b w:val="0"/>
          <w:color w:val="FF0000"/>
        </w:rPr>
        <w:t xml:space="preserve">[sidebar] </w:t>
      </w:r>
      <w:r w:rsidRPr="007521D7">
        <w:rPr>
          <w:rStyle w:val="ICBAbold"/>
        </w:rPr>
        <w:t>Education on tap</w:t>
      </w:r>
    </w:p>
    <w:p w14:paraId="1E873173" w14:textId="77777777" w:rsidR="00F156C0" w:rsidRPr="007521D7" w:rsidRDefault="00F156C0" w:rsidP="00F156C0">
      <w:pPr>
        <w:rPr>
          <w:rStyle w:val="ICBAbold"/>
        </w:rPr>
      </w:pPr>
      <w:r w:rsidRPr="007521D7">
        <w:rPr>
          <w:rStyle w:val="ICBAbold"/>
        </w:rPr>
        <w:t xml:space="preserve">Quarterly bank industry update </w:t>
      </w:r>
    </w:p>
    <w:p w14:paraId="1FE5BE40" w14:textId="395270EC" w:rsidR="00702F03" w:rsidRDefault="00F156C0" w:rsidP="0096028D">
      <w:pPr>
        <w:spacing w:line="360" w:lineRule="auto"/>
        <w:rPr>
          <w:rStyle w:val="ICBAbold"/>
          <w:b w:val="0"/>
          <w:color w:val="FF0000"/>
        </w:rPr>
      </w:pPr>
      <w:r>
        <w:rPr>
          <w:rStyle w:val="ICBAbold"/>
          <w:b w:val="0"/>
          <w:bCs/>
        </w:rPr>
        <w:t>Stifel’s</w:t>
      </w:r>
      <w:r w:rsidRPr="007521D7">
        <w:rPr>
          <w:rStyle w:val="ICBAbold"/>
          <w:b w:val="0"/>
          <w:bCs/>
        </w:rPr>
        <w:t xml:space="preserve"> Marty Mosby</w:t>
      </w:r>
      <w:r>
        <w:rPr>
          <w:rStyle w:val="ICBAbold"/>
          <w:b w:val="0"/>
          <w:bCs/>
        </w:rPr>
        <w:t xml:space="preserve"> and David Kantor</w:t>
      </w:r>
      <w:r w:rsidRPr="007521D7">
        <w:rPr>
          <w:rStyle w:val="ICBAbold"/>
          <w:b w:val="0"/>
          <w:bCs/>
        </w:rPr>
        <w:t xml:space="preserve"> presents </w:t>
      </w:r>
      <w:r>
        <w:rPr>
          <w:rStyle w:val="ICBAbold"/>
          <w:b w:val="0"/>
          <w:bCs/>
        </w:rPr>
        <w:t>the</w:t>
      </w:r>
      <w:r w:rsidRPr="007521D7">
        <w:rPr>
          <w:rStyle w:val="ICBAbold"/>
          <w:b w:val="0"/>
          <w:bCs/>
        </w:rPr>
        <w:t xml:space="preserve"> quarterly Bank Advisory and Strategic Services webinar on Dec. </w:t>
      </w:r>
      <w:r>
        <w:rPr>
          <w:rStyle w:val="ICBAbold"/>
          <w:b w:val="0"/>
          <w:bCs/>
        </w:rPr>
        <w:t>8</w:t>
      </w:r>
      <w:r w:rsidRPr="007521D7">
        <w:rPr>
          <w:rStyle w:val="ICBAbold"/>
          <w:b w:val="0"/>
          <w:bCs/>
        </w:rPr>
        <w:t xml:space="preserve"> at 10 a.m. Central. Bank profitability, industry risk and </w:t>
      </w:r>
      <w:r>
        <w:rPr>
          <w:rStyle w:val="ICBAbold"/>
          <w:b w:val="0"/>
          <w:bCs/>
        </w:rPr>
        <w:t>capital management</w:t>
      </w:r>
      <w:r w:rsidRPr="007521D7">
        <w:rPr>
          <w:rStyle w:val="ICBAbold"/>
          <w:b w:val="0"/>
          <w:bCs/>
        </w:rPr>
        <w:t xml:space="preserve"> will be discussed. One hour of CPE is offered. </w:t>
      </w:r>
      <w:r>
        <w:rPr>
          <w:rStyle w:val="ICBAbold"/>
          <w:b w:val="0"/>
          <w:bCs/>
        </w:rPr>
        <w:t>Contact your Stifel rep</w:t>
      </w:r>
      <w:r w:rsidRPr="007521D7">
        <w:t xml:space="preserve"> </w:t>
      </w:r>
      <w:r w:rsidRPr="007521D7">
        <w:rPr>
          <w:rStyle w:val="ICBAbold"/>
          <w:b w:val="0"/>
          <w:bCs/>
        </w:rPr>
        <w:t>to register.</w:t>
      </w:r>
    </w:p>
    <w:p w14:paraId="0D460DA8" w14:textId="77777777" w:rsidR="0063111D" w:rsidRPr="007521D7" w:rsidRDefault="0063111D" w:rsidP="007521D7">
      <w:pPr>
        <w:spacing w:line="360" w:lineRule="auto"/>
        <w:rPr>
          <w:rStyle w:val="ICBAbold"/>
          <w:b w:val="0"/>
          <w:color w:val="FF0000"/>
        </w:rPr>
      </w:pPr>
      <w:r w:rsidRPr="007521D7">
        <w:rPr>
          <w:rStyle w:val="ICBAbold"/>
          <w:b w:val="0"/>
          <w:color w:val="FF0000"/>
        </w:rPr>
        <w:t>[sidebar ends]</w:t>
      </w:r>
    </w:p>
    <w:p w14:paraId="2DDFAA7B" w14:textId="1D4AA761" w:rsidR="00702F03" w:rsidRDefault="00702F03">
      <w:pPr>
        <w:tabs>
          <w:tab w:val="left" w:pos="540"/>
        </w:tabs>
        <w:spacing w:line="360" w:lineRule="auto"/>
        <w:rPr>
          <w:rStyle w:val="ICBAbold"/>
          <w:b w:val="0"/>
          <w:color w:val="FF0000"/>
        </w:rPr>
      </w:pPr>
    </w:p>
    <w:p w14:paraId="5403EA09" w14:textId="7CE2D5C1" w:rsidR="006A4AED" w:rsidRDefault="006A4AED">
      <w:pPr>
        <w:tabs>
          <w:tab w:val="left" w:pos="540"/>
        </w:tabs>
        <w:spacing w:line="360" w:lineRule="auto"/>
        <w:rPr>
          <w:rStyle w:val="ICBAbold"/>
          <w:b w:val="0"/>
          <w:color w:val="FF0000"/>
        </w:rPr>
      </w:pPr>
      <w:r>
        <w:rPr>
          <w:rStyle w:val="ICBAbold"/>
          <w:b w:val="0"/>
          <w:color w:val="FF0000"/>
        </w:rPr>
        <w:t>[pull quote]</w:t>
      </w:r>
    </w:p>
    <w:p w14:paraId="252F41C7" w14:textId="0D3EA679" w:rsidR="006A4AED" w:rsidRDefault="006A4AED">
      <w:pPr>
        <w:tabs>
          <w:tab w:val="left" w:pos="540"/>
        </w:tabs>
        <w:spacing w:line="360" w:lineRule="auto"/>
        <w:rPr>
          <w:rStyle w:val="ICBAbold"/>
          <w:b w:val="0"/>
          <w:bCs/>
        </w:rPr>
      </w:pPr>
      <w:r w:rsidRPr="0096028D">
        <w:rPr>
          <w:rStyle w:val="ICBAbold"/>
          <w:b w:val="0"/>
        </w:rPr>
        <w:t>“</w:t>
      </w:r>
      <w:r>
        <w:rPr>
          <w:rStyle w:val="ICBAbold"/>
          <w:b w:val="0"/>
          <w:bCs/>
        </w:rPr>
        <w:t>A normally-sloped curve and positive real yields are still the norm, if elusive in the current environment.”</w:t>
      </w:r>
    </w:p>
    <w:p w14:paraId="3785351E" w14:textId="77777777" w:rsidR="006A4AED" w:rsidRDefault="006A4AED">
      <w:pPr>
        <w:tabs>
          <w:tab w:val="left" w:pos="540"/>
        </w:tabs>
        <w:spacing w:line="360" w:lineRule="auto"/>
        <w:rPr>
          <w:rStyle w:val="ICBAbold"/>
          <w:b w:val="0"/>
          <w:color w:val="FF0000"/>
        </w:rPr>
      </w:pPr>
    </w:p>
    <w:p w14:paraId="169701D1" w14:textId="1E80F789" w:rsidR="006A4AED" w:rsidRDefault="006A4AED">
      <w:pPr>
        <w:tabs>
          <w:tab w:val="left" w:pos="540"/>
        </w:tabs>
        <w:spacing w:line="360" w:lineRule="auto"/>
        <w:rPr>
          <w:rStyle w:val="ICBAbold"/>
          <w:b w:val="0"/>
          <w:color w:val="FF0000"/>
        </w:rPr>
      </w:pPr>
      <w:r>
        <w:rPr>
          <w:rStyle w:val="ICBAbold"/>
          <w:b w:val="0"/>
          <w:color w:val="FF0000"/>
        </w:rPr>
        <w:t>[quick stat]</w:t>
      </w:r>
    </w:p>
    <w:p w14:paraId="54A4FF89" w14:textId="176EBC73" w:rsidR="006A4AED" w:rsidRPr="0096028D" w:rsidRDefault="006A4AED">
      <w:pPr>
        <w:tabs>
          <w:tab w:val="left" w:pos="540"/>
        </w:tabs>
        <w:spacing w:line="360" w:lineRule="auto"/>
        <w:rPr>
          <w:rStyle w:val="ICBAbold"/>
          <w:b w:val="0"/>
        </w:rPr>
      </w:pPr>
      <w:r w:rsidRPr="0096028D">
        <w:rPr>
          <w:rStyle w:val="ICBAbold"/>
          <w:b w:val="0"/>
        </w:rPr>
        <w:t>14.5%</w:t>
      </w:r>
    </w:p>
    <w:p w14:paraId="0E403ACF" w14:textId="1996AF8C" w:rsidR="006A4AED" w:rsidRDefault="006A4AED">
      <w:pPr>
        <w:tabs>
          <w:tab w:val="left" w:pos="540"/>
        </w:tabs>
        <w:spacing w:line="360" w:lineRule="auto"/>
        <w:rPr>
          <w:rStyle w:val="ICBAbold"/>
          <w:b w:val="0"/>
          <w:bCs/>
        </w:rPr>
      </w:pPr>
      <w:r w:rsidRPr="0096028D">
        <w:rPr>
          <w:rStyle w:val="ICBAbold"/>
          <w:b w:val="0"/>
        </w:rPr>
        <w:t xml:space="preserve">The decrease of the </w:t>
      </w:r>
      <w:r>
        <w:rPr>
          <w:rStyle w:val="ICBAbold"/>
          <w:b w:val="0"/>
          <w:bCs/>
        </w:rPr>
        <w:t>Bloomberg Agg on a total return basis in 2022—the worst since 1990.</w:t>
      </w:r>
    </w:p>
    <w:p w14:paraId="44D93CFD" w14:textId="11C0227B" w:rsidR="006A4AED" w:rsidRDefault="006A4AED">
      <w:pPr>
        <w:tabs>
          <w:tab w:val="left" w:pos="540"/>
        </w:tabs>
        <w:spacing w:line="360" w:lineRule="auto"/>
        <w:rPr>
          <w:rStyle w:val="ICBAbold"/>
          <w:b w:val="0"/>
          <w:bCs/>
        </w:rPr>
      </w:pPr>
      <w:r>
        <w:rPr>
          <w:rStyle w:val="ICBAbold"/>
          <w:b w:val="0"/>
          <w:bCs/>
        </w:rPr>
        <w:lastRenderedPageBreak/>
        <w:t xml:space="preserve">Source: </w:t>
      </w:r>
      <w:r w:rsidR="00BF5925">
        <w:rPr>
          <w:rStyle w:val="ICBAbold"/>
          <w:b w:val="0"/>
          <w:bCs/>
        </w:rPr>
        <w:t>Bloomberg</w:t>
      </w:r>
    </w:p>
    <w:p w14:paraId="1EAA26CA" w14:textId="6FD24583" w:rsidR="006A4AED" w:rsidRDefault="006A4AED">
      <w:pPr>
        <w:tabs>
          <w:tab w:val="left" w:pos="540"/>
        </w:tabs>
        <w:spacing w:line="360" w:lineRule="auto"/>
        <w:rPr>
          <w:rStyle w:val="ICBAbold"/>
          <w:b w:val="0"/>
          <w:color w:val="FF0000"/>
        </w:rPr>
      </w:pPr>
      <w:r>
        <w:rPr>
          <w:rStyle w:val="ICBAbold"/>
          <w:b w:val="0"/>
          <w:bCs/>
        </w:rPr>
        <w:t>[quick stat ends]</w:t>
      </w:r>
    </w:p>
    <w:p w14:paraId="5B8727AC" w14:textId="77777777" w:rsidR="006A4AED" w:rsidRPr="005F77C9" w:rsidRDefault="006A4AED">
      <w:pPr>
        <w:tabs>
          <w:tab w:val="left" w:pos="540"/>
        </w:tabs>
        <w:spacing w:line="360" w:lineRule="auto"/>
        <w:rPr>
          <w:rStyle w:val="ICBAbold"/>
          <w:b w:val="0"/>
          <w:color w:val="FF0000"/>
        </w:rPr>
      </w:pPr>
    </w:p>
    <w:sectPr w:rsidR="006A4AED" w:rsidRPr="005F77C9" w:rsidSect="00E42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80EB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25118"/>
    <w:multiLevelType w:val="hybridMultilevel"/>
    <w:tmpl w:val="1ABAB7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3C31"/>
    <w:multiLevelType w:val="hybridMultilevel"/>
    <w:tmpl w:val="B384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B1C93"/>
    <w:multiLevelType w:val="hybridMultilevel"/>
    <w:tmpl w:val="EBE44338"/>
    <w:lvl w:ilvl="0" w:tplc="0F9070F6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AB20FE5"/>
    <w:multiLevelType w:val="hybridMultilevel"/>
    <w:tmpl w:val="FA18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B2075"/>
    <w:multiLevelType w:val="hybridMultilevel"/>
    <w:tmpl w:val="5A561D84"/>
    <w:lvl w:ilvl="0" w:tplc="E64C74EE">
      <w:numFmt w:val="bullet"/>
      <w:lvlText w:val=""/>
      <w:lvlJc w:val="left"/>
      <w:pPr>
        <w:ind w:left="27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1648759A"/>
    <w:multiLevelType w:val="hybridMultilevel"/>
    <w:tmpl w:val="D9C63BB8"/>
    <w:lvl w:ilvl="0" w:tplc="88AA532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1CDA7F2B"/>
    <w:multiLevelType w:val="hybridMultilevel"/>
    <w:tmpl w:val="2C04FDB0"/>
    <w:lvl w:ilvl="0" w:tplc="278A3BD0">
      <w:start w:val="10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1E880ACD"/>
    <w:multiLevelType w:val="hybridMultilevel"/>
    <w:tmpl w:val="A9221EA8"/>
    <w:lvl w:ilvl="0" w:tplc="5FBE8F9A">
      <w:start w:val="20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E64E8E"/>
    <w:multiLevelType w:val="hybridMultilevel"/>
    <w:tmpl w:val="DCA2D848"/>
    <w:lvl w:ilvl="0" w:tplc="04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0" w15:restartNumberingAfterBreak="0">
    <w:nsid w:val="22850E5C"/>
    <w:multiLevelType w:val="hybridMultilevel"/>
    <w:tmpl w:val="07EC4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62772"/>
    <w:multiLevelType w:val="hybridMultilevel"/>
    <w:tmpl w:val="4FE0C608"/>
    <w:lvl w:ilvl="0" w:tplc="9A9245A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E67C60"/>
    <w:multiLevelType w:val="hybridMultilevel"/>
    <w:tmpl w:val="A0043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6FC453C"/>
    <w:multiLevelType w:val="hybridMultilevel"/>
    <w:tmpl w:val="C56A0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D4EF4"/>
    <w:multiLevelType w:val="hybridMultilevel"/>
    <w:tmpl w:val="6C80C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A70C49"/>
    <w:multiLevelType w:val="hybridMultilevel"/>
    <w:tmpl w:val="71181E8A"/>
    <w:lvl w:ilvl="0" w:tplc="FC62CB9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B602AEA"/>
    <w:multiLevelType w:val="hybridMultilevel"/>
    <w:tmpl w:val="168C81F0"/>
    <w:lvl w:ilvl="0" w:tplc="FBA809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291851"/>
    <w:multiLevelType w:val="hybridMultilevel"/>
    <w:tmpl w:val="3796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07731"/>
    <w:multiLevelType w:val="hybridMultilevel"/>
    <w:tmpl w:val="BEB8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E1F84"/>
    <w:multiLevelType w:val="hybridMultilevel"/>
    <w:tmpl w:val="91F6FF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04E07"/>
    <w:multiLevelType w:val="hybridMultilevel"/>
    <w:tmpl w:val="6D42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413CE"/>
    <w:multiLevelType w:val="hybridMultilevel"/>
    <w:tmpl w:val="9DECFA62"/>
    <w:lvl w:ilvl="0" w:tplc="D85CDDB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2D151E"/>
    <w:multiLevelType w:val="hybridMultilevel"/>
    <w:tmpl w:val="8B64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C7887"/>
    <w:multiLevelType w:val="multilevel"/>
    <w:tmpl w:val="C56A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147E8"/>
    <w:multiLevelType w:val="hybridMultilevel"/>
    <w:tmpl w:val="171A7F6A"/>
    <w:lvl w:ilvl="0" w:tplc="04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605F9"/>
    <w:multiLevelType w:val="hybridMultilevel"/>
    <w:tmpl w:val="CBA88E16"/>
    <w:lvl w:ilvl="0" w:tplc="52702CA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D0F6FD8"/>
    <w:multiLevelType w:val="multilevel"/>
    <w:tmpl w:val="C56A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90E2E"/>
    <w:multiLevelType w:val="hybridMultilevel"/>
    <w:tmpl w:val="681C8228"/>
    <w:lvl w:ilvl="0" w:tplc="BC5EF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A523F4"/>
    <w:multiLevelType w:val="hybridMultilevel"/>
    <w:tmpl w:val="E8F0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F1C71"/>
    <w:multiLevelType w:val="hybridMultilevel"/>
    <w:tmpl w:val="BD3AE74E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0" w15:restartNumberingAfterBreak="0">
    <w:nsid w:val="6C402380"/>
    <w:multiLevelType w:val="hybridMultilevel"/>
    <w:tmpl w:val="9EFCDB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868AE"/>
    <w:multiLevelType w:val="hybridMultilevel"/>
    <w:tmpl w:val="52029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86039"/>
    <w:multiLevelType w:val="hybridMultilevel"/>
    <w:tmpl w:val="9C18D6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524A7"/>
    <w:multiLevelType w:val="hybridMultilevel"/>
    <w:tmpl w:val="061EF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8230D"/>
    <w:multiLevelType w:val="hybridMultilevel"/>
    <w:tmpl w:val="C4243D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026400853">
    <w:abstractNumId w:val="31"/>
  </w:num>
  <w:num w:numId="2" w16cid:durableId="1915436152">
    <w:abstractNumId w:val="19"/>
  </w:num>
  <w:num w:numId="3" w16cid:durableId="375008257">
    <w:abstractNumId w:val="16"/>
  </w:num>
  <w:num w:numId="4" w16cid:durableId="678889801">
    <w:abstractNumId w:val="34"/>
  </w:num>
  <w:num w:numId="5" w16cid:durableId="37094254">
    <w:abstractNumId w:val="13"/>
  </w:num>
  <w:num w:numId="6" w16cid:durableId="36441176">
    <w:abstractNumId w:val="26"/>
  </w:num>
  <w:num w:numId="7" w16cid:durableId="971329918">
    <w:abstractNumId w:val="23"/>
  </w:num>
  <w:num w:numId="8" w16cid:durableId="2124568075">
    <w:abstractNumId w:val="0"/>
  </w:num>
  <w:num w:numId="9" w16cid:durableId="521211171">
    <w:abstractNumId w:val="24"/>
  </w:num>
  <w:num w:numId="10" w16cid:durableId="1920139520">
    <w:abstractNumId w:val="8"/>
  </w:num>
  <w:num w:numId="11" w16cid:durableId="496044439">
    <w:abstractNumId w:val="27"/>
  </w:num>
  <w:num w:numId="12" w16cid:durableId="114374952">
    <w:abstractNumId w:val="28"/>
  </w:num>
  <w:num w:numId="13" w16cid:durableId="1120563968">
    <w:abstractNumId w:val="18"/>
  </w:num>
  <w:num w:numId="14" w16cid:durableId="255289217">
    <w:abstractNumId w:val="32"/>
  </w:num>
  <w:num w:numId="15" w16cid:durableId="370418584">
    <w:abstractNumId w:val="21"/>
  </w:num>
  <w:num w:numId="16" w16cid:durableId="501553687">
    <w:abstractNumId w:val="11"/>
  </w:num>
  <w:num w:numId="17" w16cid:durableId="557128158">
    <w:abstractNumId w:val="25"/>
  </w:num>
  <w:num w:numId="18" w16cid:durableId="1856071131">
    <w:abstractNumId w:val="15"/>
  </w:num>
  <w:num w:numId="19" w16cid:durableId="144515837">
    <w:abstractNumId w:val="3"/>
  </w:num>
  <w:num w:numId="20" w16cid:durableId="2079479713">
    <w:abstractNumId w:val="5"/>
  </w:num>
  <w:num w:numId="21" w16cid:durableId="1051271706">
    <w:abstractNumId w:val="30"/>
  </w:num>
  <w:num w:numId="22" w16cid:durableId="711076663">
    <w:abstractNumId w:val="20"/>
  </w:num>
  <w:num w:numId="23" w16cid:durableId="853495989">
    <w:abstractNumId w:val="7"/>
  </w:num>
  <w:num w:numId="24" w16cid:durableId="762576923">
    <w:abstractNumId w:val="12"/>
  </w:num>
  <w:num w:numId="25" w16cid:durableId="138771850">
    <w:abstractNumId w:val="14"/>
  </w:num>
  <w:num w:numId="26" w16cid:durableId="632365327">
    <w:abstractNumId w:val="17"/>
  </w:num>
  <w:num w:numId="27" w16cid:durableId="1053119338">
    <w:abstractNumId w:val="33"/>
  </w:num>
  <w:num w:numId="28" w16cid:durableId="1435324327">
    <w:abstractNumId w:val="6"/>
  </w:num>
  <w:num w:numId="29" w16cid:durableId="1051658872">
    <w:abstractNumId w:val="1"/>
  </w:num>
  <w:num w:numId="30" w16cid:durableId="506137715">
    <w:abstractNumId w:val="10"/>
  </w:num>
  <w:num w:numId="31" w16cid:durableId="18434172">
    <w:abstractNumId w:val="22"/>
  </w:num>
  <w:num w:numId="32" w16cid:durableId="1191185885">
    <w:abstractNumId w:val="29"/>
  </w:num>
  <w:num w:numId="33" w16cid:durableId="1170096183">
    <w:abstractNumId w:val="9"/>
  </w:num>
  <w:num w:numId="34" w16cid:durableId="1121418045">
    <w:abstractNumId w:val="2"/>
  </w:num>
  <w:num w:numId="35" w16cid:durableId="396365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F7D"/>
    <w:rsid w:val="00002453"/>
    <w:rsid w:val="00002F33"/>
    <w:rsid w:val="000047F9"/>
    <w:rsid w:val="000057FC"/>
    <w:rsid w:val="00005900"/>
    <w:rsid w:val="00007110"/>
    <w:rsid w:val="000076DD"/>
    <w:rsid w:val="00007AEB"/>
    <w:rsid w:val="000136D3"/>
    <w:rsid w:val="00013A2D"/>
    <w:rsid w:val="00013AB6"/>
    <w:rsid w:val="000154A5"/>
    <w:rsid w:val="00015A62"/>
    <w:rsid w:val="00015F32"/>
    <w:rsid w:val="00016B59"/>
    <w:rsid w:val="0001766E"/>
    <w:rsid w:val="00017AC4"/>
    <w:rsid w:val="00017C0B"/>
    <w:rsid w:val="00017DB6"/>
    <w:rsid w:val="000204AE"/>
    <w:rsid w:val="0002091D"/>
    <w:rsid w:val="00020EF5"/>
    <w:rsid w:val="000210E1"/>
    <w:rsid w:val="00021413"/>
    <w:rsid w:val="00021DBD"/>
    <w:rsid w:val="00023676"/>
    <w:rsid w:val="00023BD1"/>
    <w:rsid w:val="000247A7"/>
    <w:rsid w:val="00024ADE"/>
    <w:rsid w:val="00026487"/>
    <w:rsid w:val="00027F50"/>
    <w:rsid w:val="00030D9B"/>
    <w:rsid w:val="00030F53"/>
    <w:rsid w:val="00031F9E"/>
    <w:rsid w:val="00033824"/>
    <w:rsid w:val="0003389A"/>
    <w:rsid w:val="00034044"/>
    <w:rsid w:val="0003423B"/>
    <w:rsid w:val="0003446B"/>
    <w:rsid w:val="000358C7"/>
    <w:rsid w:val="00035A10"/>
    <w:rsid w:val="00035B60"/>
    <w:rsid w:val="00035F85"/>
    <w:rsid w:val="00036599"/>
    <w:rsid w:val="00036920"/>
    <w:rsid w:val="000371A3"/>
    <w:rsid w:val="00037C88"/>
    <w:rsid w:val="000408A2"/>
    <w:rsid w:val="0004114B"/>
    <w:rsid w:val="00041DC0"/>
    <w:rsid w:val="000428F3"/>
    <w:rsid w:val="00042B0A"/>
    <w:rsid w:val="000439DA"/>
    <w:rsid w:val="000447C0"/>
    <w:rsid w:val="00044D01"/>
    <w:rsid w:val="00045325"/>
    <w:rsid w:val="00046845"/>
    <w:rsid w:val="00046C83"/>
    <w:rsid w:val="00047077"/>
    <w:rsid w:val="00047FCB"/>
    <w:rsid w:val="000507C7"/>
    <w:rsid w:val="00050965"/>
    <w:rsid w:val="00050B4F"/>
    <w:rsid w:val="00050EA0"/>
    <w:rsid w:val="00050FE0"/>
    <w:rsid w:val="000518AE"/>
    <w:rsid w:val="000519F2"/>
    <w:rsid w:val="000533F2"/>
    <w:rsid w:val="00053929"/>
    <w:rsid w:val="00053DFD"/>
    <w:rsid w:val="0005431A"/>
    <w:rsid w:val="0005489B"/>
    <w:rsid w:val="00054BF5"/>
    <w:rsid w:val="00054CA4"/>
    <w:rsid w:val="0005540A"/>
    <w:rsid w:val="00055B01"/>
    <w:rsid w:val="00055D95"/>
    <w:rsid w:val="000563F5"/>
    <w:rsid w:val="000576AC"/>
    <w:rsid w:val="00060268"/>
    <w:rsid w:val="000608B9"/>
    <w:rsid w:val="00061D21"/>
    <w:rsid w:val="00062887"/>
    <w:rsid w:val="00062F69"/>
    <w:rsid w:val="00063A9F"/>
    <w:rsid w:val="0006438A"/>
    <w:rsid w:val="00064C61"/>
    <w:rsid w:val="00065DFC"/>
    <w:rsid w:val="0006654C"/>
    <w:rsid w:val="000722B3"/>
    <w:rsid w:val="000722F0"/>
    <w:rsid w:val="0007251A"/>
    <w:rsid w:val="00072A61"/>
    <w:rsid w:val="00073ED0"/>
    <w:rsid w:val="00074A85"/>
    <w:rsid w:val="00075029"/>
    <w:rsid w:val="0007580B"/>
    <w:rsid w:val="00076FD6"/>
    <w:rsid w:val="00077E24"/>
    <w:rsid w:val="00080027"/>
    <w:rsid w:val="000805FB"/>
    <w:rsid w:val="00080787"/>
    <w:rsid w:val="00080F1C"/>
    <w:rsid w:val="000814C3"/>
    <w:rsid w:val="00081F69"/>
    <w:rsid w:val="0008229C"/>
    <w:rsid w:val="000824C8"/>
    <w:rsid w:val="0008279E"/>
    <w:rsid w:val="00082D18"/>
    <w:rsid w:val="00083D98"/>
    <w:rsid w:val="0008512C"/>
    <w:rsid w:val="0008621A"/>
    <w:rsid w:val="00086D50"/>
    <w:rsid w:val="00091039"/>
    <w:rsid w:val="0009122B"/>
    <w:rsid w:val="000931E0"/>
    <w:rsid w:val="0009339D"/>
    <w:rsid w:val="0009430F"/>
    <w:rsid w:val="0009583A"/>
    <w:rsid w:val="00095C21"/>
    <w:rsid w:val="0009641E"/>
    <w:rsid w:val="00096854"/>
    <w:rsid w:val="000A0045"/>
    <w:rsid w:val="000A031F"/>
    <w:rsid w:val="000A1541"/>
    <w:rsid w:val="000A1958"/>
    <w:rsid w:val="000A2908"/>
    <w:rsid w:val="000A47D4"/>
    <w:rsid w:val="000A505B"/>
    <w:rsid w:val="000A6190"/>
    <w:rsid w:val="000A6558"/>
    <w:rsid w:val="000A6B2C"/>
    <w:rsid w:val="000B055B"/>
    <w:rsid w:val="000B0972"/>
    <w:rsid w:val="000B0B4C"/>
    <w:rsid w:val="000B179F"/>
    <w:rsid w:val="000B1C44"/>
    <w:rsid w:val="000B3260"/>
    <w:rsid w:val="000B3652"/>
    <w:rsid w:val="000B496F"/>
    <w:rsid w:val="000B57FE"/>
    <w:rsid w:val="000B5879"/>
    <w:rsid w:val="000B6AF6"/>
    <w:rsid w:val="000B6C8E"/>
    <w:rsid w:val="000B758B"/>
    <w:rsid w:val="000C041B"/>
    <w:rsid w:val="000C0D94"/>
    <w:rsid w:val="000C2C51"/>
    <w:rsid w:val="000C2E96"/>
    <w:rsid w:val="000C3167"/>
    <w:rsid w:val="000C40B1"/>
    <w:rsid w:val="000C5840"/>
    <w:rsid w:val="000C5B37"/>
    <w:rsid w:val="000C6B3E"/>
    <w:rsid w:val="000D001A"/>
    <w:rsid w:val="000D12AD"/>
    <w:rsid w:val="000D1431"/>
    <w:rsid w:val="000D282B"/>
    <w:rsid w:val="000D28BC"/>
    <w:rsid w:val="000D3680"/>
    <w:rsid w:val="000D3B4B"/>
    <w:rsid w:val="000D5018"/>
    <w:rsid w:val="000D596C"/>
    <w:rsid w:val="000D5B4D"/>
    <w:rsid w:val="000D5C33"/>
    <w:rsid w:val="000D627A"/>
    <w:rsid w:val="000E0027"/>
    <w:rsid w:val="000E0CC0"/>
    <w:rsid w:val="000E2E15"/>
    <w:rsid w:val="000E3B1F"/>
    <w:rsid w:val="000E4013"/>
    <w:rsid w:val="000E4059"/>
    <w:rsid w:val="000E4E1C"/>
    <w:rsid w:val="000E5FBC"/>
    <w:rsid w:val="000E68DB"/>
    <w:rsid w:val="000E7AFD"/>
    <w:rsid w:val="000F0A9B"/>
    <w:rsid w:val="000F0B10"/>
    <w:rsid w:val="000F0F20"/>
    <w:rsid w:val="000F1281"/>
    <w:rsid w:val="000F135D"/>
    <w:rsid w:val="000F1C6A"/>
    <w:rsid w:val="000F2FFC"/>
    <w:rsid w:val="000F4010"/>
    <w:rsid w:val="000F53E3"/>
    <w:rsid w:val="000F5B2C"/>
    <w:rsid w:val="000F6AE6"/>
    <w:rsid w:val="000F7DC6"/>
    <w:rsid w:val="00100103"/>
    <w:rsid w:val="00100114"/>
    <w:rsid w:val="0010061D"/>
    <w:rsid w:val="001010C3"/>
    <w:rsid w:val="001013B2"/>
    <w:rsid w:val="00102BFC"/>
    <w:rsid w:val="00103CAD"/>
    <w:rsid w:val="0010563C"/>
    <w:rsid w:val="0010723E"/>
    <w:rsid w:val="00107EE1"/>
    <w:rsid w:val="00111E18"/>
    <w:rsid w:val="00111E48"/>
    <w:rsid w:val="00112931"/>
    <w:rsid w:val="0011297C"/>
    <w:rsid w:val="00113738"/>
    <w:rsid w:val="001137B7"/>
    <w:rsid w:val="0011439A"/>
    <w:rsid w:val="00114B3D"/>
    <w:rsid w:val="001151E4"/>
    <w:rsid w:val="00115557"/>
    <w:rsid w:val="00115BD7"/>
    <w:rsid w:val="001162C0"/>
    <w:rsid w:val="00117469"/>
    <w:rsid w:val="00117E2E"/>
    <w:rsid w:val="00120042"/>
    <w:rsid w:val="001204C1"/>
    <w:rsid w:val="00121494"/>
    <w:rsid w:val="00121F17"/>
    <w:rsid w:val="00121FD6"/>
    <w:rsid w:val="00122B22"/>
    <w:rsid w:val="00122C36"/>
    <w:rsid w:val="001231BD"/>
    <w:rsid w:val="00124663"/>
    <w:rsid w:val="001246D8"/>
    <w:rsid w:val="00124A74"/>
    <w:rsid w:val="00125072"/>
    <w:rsid w:val="00127461"/>
    <w:rsid w:val="00130378"/>
    <w:rsid w:val="00131AD0"/>
    <w:rsid w:val="00131D76"/>
    <w:rsid w:val="00133406"/>
    <w:rsid w:val="00135803"/>
    <w:rsid w:val="001365E8"/>
    <w:rsid w:val="0013690B"/>
    <w:rsid w:val="00136CB5"/>
    <w:rsid w:val="00136DE6"/>
    <w:rsid w:val="00136DFC"/>
    <w:rsid w:val="00137144"/>
    <w:rsid w:val="00137AF8"/>
    <w:rsid w:val="00140A1B"/>
    <w:rsid w:val="00140B60"/>
    <w:rsid w:val="00141144"/>
    <w:rsid w:val="0014135D"/>
    <w:rsid w:val="0014148E"/>
    <w:rsid w:val="00141F98"/>
    <w:rsid w:val="00142F7D"/>
    <w:rsid w:val="00143080"/>
    <w:rsid w:val="00143117"/>
    <w:rsid w:val="00144504"/>
    <w:rsid w:val="00144565"/>
    <w:rsid w:val="0014572B"/>
    <w:rsid w:val="00145E0D"/>
    <w:rsid w:val="001461EE"/>
    <w:rsid w:val="00146B35"/>
    <w:rsid w:val="00150BE6"/>
    <w:rsid w:val="00150C6F"/>
    <w:rsid w:val="00151099"/>
    <w:rsid w:val="00151AED"/>
    <w:rsid w:val="00152B9E"/>
    <w:rsid w:val="00152E5A"/>
    <w:rsid w:val="001550F4"/>
    <w:rsid w:val="00155F6B"/>
    <w:rsid w:val="00156B35"/>
    <w:rsid w:val="00157F76"/>
    <w:rsid w:val="001633EC"/>
    <w:rsid w:val="00163CF2"/>
    <w:rsid w:val="001645E7"/>
    <w:rsid w:val="001647C7"/>
    <w:rsid w:val="00164B44"/>
    <w:rsid w:val="00164CE2"/>
    <w:rsid w:val="00164D77"/>
    <w:rsid w:val="001663A5"/>
    <w:rsid w:val="0016663E"/>
    <w:rsid w:val="00167A04"/>
    <w:rsid w:val="00170A04"/>
    <w:rsid w:val="00170ED9"/>
    <w:rsid w:val="00171D06"/>
    <w:rsid w:val="00172096"/>
    <w:rsid w:val="00172296"/>
    <w:rsid w:val="00172923"/>
    <w:rsid w:val="00172AF4"/>
    <w:rsid w:val="001730B5"/>
    <w:rsid w:val="001734BC"/>
    <w:rsid w:val="00173D79"/>
    <w:rsid w:val="00174D25"/>
    <w:rsid w:val="00174DF0"/>
    <w:rsid w:val="00175E9A"/>
    <w:rsid w:val="00176A00"/>
    <w:rsid w:val="00176EEC"/>
    <w:rsid w:val="00177BCA"/>
    <w:rsid w:val="001818B3"/>
    <w:rsid w:val="00182318"/>
    <w:rsid w:val="00185262"/>
    <w:rsid w:val="00186055"/>
    <w:rsid w:val="00187870"/>
    <w:rsid w:val="00192658"/>
    <w:rsid w:val="00193D70"/>
    <w:rsid w:val="0019411A"/>
    <w:rsid w:val="001941A3"/>
    <w:rsid w:val="001948D7"/>
    <w:rsid w:val="00194B6C"/>
    <w:rsid w:val="00194CC9"/>
    <w:rsid w:val="00194FF2"/>
    <w:rsid w:val="001957D7"/>
    <w:rsid w:val="00195963"/>
    <w:rsid w:val="00196496"/>
    <w:rsid w:val="001967E4"/>
    <w:rsid w:val="00197B21"/>
    <w:rsid w:val="001A0893"/>
    <w:rsid w:val="001A123E"/>
    <w:rsid w:val="001A24A6"/>
    <w:rsid w:val="001A3102"/>
    <w:rsid w:val="001A464B"/>
    <w:rsid w:val="001A468B"/>
    <w:rsid w:val="001A49E8"/>
    <w:rsid w:val="001A5B81"/>
    <w:rsid w:val="001A5E9A"/>
    <w:rsid w:val="001B04B5"/>
    <w:rsid w:val="001B13A0"/>
    <w:rsid w:val="001B1862"/>
    <w:rsid w:val="001B1BAC"/>
    <w:rsid w:val="001B27D6"/>
    <w:rsid w:val="001B2FFA"/>
    <w:rsid w:val="001B3216"/>
    <w:rsid w:val="001B355F"/>
    <w:rsid w:val="001B4397"/>
    <w:rsid w:val="001B4AF1"/>
    <w:rsid w:val="001B4D1A"/>
    <w:rsid w:val="001B4EE0"/>
    <w:rsid w:val="001B612B"/>
    <w:rsid w:val="001B6A58"/>
    <w:rsid w:val="001B7A03"/>
    <w:rsid w:val="001B7DEC"/>
    <w:rsid w:val="001C0957"/>
    <w:rsid w:val="001C1350"/>
    <w:rsid w:val="001C16F3"/>
    <w:rsid w:val="001C3D2F"/>
    <w:rsid w:val="001C3DFF"/>
    <w:rsid w:val="001C50C5"/>
    <w:rsid w:val="001C5436"/>
    <w:rsid w:val="001C5683"/>
    <w:rsid w:val="001C5FFD"/>
    <w:rsid w:val="001C60D3"/>
    <w:rsid w:val="001C6190"/>
    <w:rsid w:val="001C7F04"/>
    <w:rsid w:val="001D067F"/>
    <w:rsid w:val="001D1529"/>
    <w:rsid w:val="001D1A44"/>
    <w:rsid w:val="001D2293"/>
    <w:rsid w:val="001D2596"/>
    <w:rsid w:val="001D2C01"/>
    <w:rsid w:val="001D34AC"/>
    <w:rsid w:val="001D469D"/>
    <w:rsid w:val="001D46E3"/>
    <w:rsid w:val="001D4CE8"/>
    <w:rsid w:val="001D57DC"/>
    <w:rsid w:val="001D668B"/>
    <w:rsid w:val="001D6974"/>
    <w:rsid w:val="001D6CB4"/>
    <w:rsid w:val="001D6D3C"/>
    <w:rsid w:val="001D6D44"/>
    <w:rsid w:val="001D72FA"/>
    <w:rsid w:val="001D76EB"/>
    <w:rsid w:val="001D7D62"/>
    <w:rsid w:val="001E0F7A"/>
    <w:rsid w:val="001E131C"/>
    <w:rsid w:val="001E194C"/>
    <w:rsid w:val="001E2338"/>
    <w:rsid w:val="001E2B2D"/>
    <w:rsid w:val="001E2FB4"/>
    <w:rsid w:val="001E34F3"/>
    <w:rsid w:val="001E377F"/>
    <w:rsid w:val="001E3EF3"/>
    <w:rsid w:val="001E59C5"/>
    <w:rsid w:val="001E5E37"/>
    <w:rsid w:val="001E6511"/>
    <w:rsid w:val="001E7851"/>
    <w:rsid w:val="001E7DB8"/>
    <w:rsid w:val="001F1957"/>
    <w:rsid w:val="001F21AB"/>
    <w:rsid w:val="001F256A"/>
    <w:rsid w:val="001F26FC"/>
    <w:rsid w:val="001F31D1"/>
    <w:rsid w:val="001F3432"/>
    <w:rsid w:val="001F3DD9"/>
    <w:rsid w:val="001F4658"/>
    <w:rsid w:val="001F4CAB"/>
    <w:rsid w:val="001F4F8B"/>
    <w:rsid w:val="001F5357"/>
    <w:rsid w:val="001F5875"/>
    <w:rsid w:val="001F5E2E"/>
    <w:rsid w:val="001F6452"/>
    <w:rsid w:val="001F65A9"/>
    <w:rsid w:val="001F686A"/>
    <w:rsid w:val="001F6BD1"/>
    <w:rsid w:val="001F7223"/>
    <w:rsid w:val="001F7CC7"/>
    <w:rsid w:val="001F7F4F"/>
    <w:rsid w:val="002010F6"/>
    <w:rsid w:val="0020375D"/>
    <w:rsid w:val="00203FB9"/>
    <w:rsid w:val="002066B2"/>
    <w:rsid w:val="00206D80"/>
    <w:rsid w:val="00211086"/>
    <w:rsid w:val="00211D91"/>
    <w:rsid w:val="0021236C"/>
    <w:rsid w:val="00212537"/>
    <w:rsid w:val="00212B15"/>
    <w:rsid w:val="00212F46"/>
    <w:rsid w:val="00212FAD"/>
    <w:rsid w:val="002132C2"/>
    <w:rsid w:val="00214548"/>
    <w:rsid w:val="0021483C"/>
    <w:rsid w:val="00215152"/>
    <w:rsid w:val="0021580A"/>
    <w:rsid w:val="0021607F"/>
    <w:rsid w:val="00217BFE"/>
    <w:rsid w:val="00222160"/>
    <w:rsid w:val="002227C2"/>
    <w:rsid w:val="00223CCB"/>
    <w:rsid w:val="00224565"/>
    <w:rsid w:val="00224D72"/>
    <w:rsid w:val="0022502E"/>
    <w:rsid w:val="00225354"/>
    <w:rsid w:val="00225AFE"/>
    <w:rsid w:val="00225E52"/>
    <w:rsid w:val="00226624"/>
    <w:rsid w:val="0022667C"/>
    <w:rsid w:val="00226B69"/>
    <w:rsid w:val="002307D1"/>
    <w:rsid w:val="00230BCD"/>
    <w:rsid w:val="002322F1"/>
    <w:rsid w:val="00232DE7"/>
    <w:rsid w:val="0023344F"/>
    <w:rsid w:val="00233E7E"/>
    <w:rsid w:val="00233E8B"/>
    <w:rsid w:val="00233EC8"/>
    <w:rsid w:val="00235914"/>
    <w:rsid w:val="00235C73"/>
    <w:rsid w:val="002371FD"/>
    <w:rsid w:val="00237A7B"/>
    <w:rsid w:val="0024180A"/>
    <w:rsid w:val="00242665"/>
    <w:rsid w:val="00243274"/>
    <w:rsid w:val="0024346D"/>
    <w:rsid w:val="00243549"/>
    <w:rsid w:val="00243C96"/>
    <w:rsid w:val="00244542"/>
    <w:rsid w:val="00244C21"/>
    <w:rsid w:val="00244C98"/>
    <w:rsid w:val="00246B42"/>
    <w:rsid w:val="00247A00"/>
    <w:rsid w:val="00247E9E"/>
    <w:rsid w:val="00251BC7"/>
    <w:rsid w:val="00251D0F"/>
    <w:rsid w:val="002525C7"/>
    <w:rsid w:val="00252BA7"/>
    <w:rsid w:val="00253731"/>
    <w:rsid w:val="00253E77"/>
    <w:rsid w:val="00254A8C"/>
    <w:rsid w:val="002552E4"/>
    <w:rsid w:val="0025596B"/>
    <w:rsid w:val="00255B1E"/>
    <w:rsid w:val="00255BEA"/>
    <w:rsid w:val="00256ABD"/>
    <w:rsid w:val="00256FD3"/>
    <w:rsid w:val="0025757D"/>
    <w:rsid w:val="00257DA4"/>
    <w:rsid w:val="002613AF"/>
    <w:rsid w:val="00261C54"/>
    <w:rsid w:val="00261C92"/>
    <w:rsid w:val="002628DC"/>
    <w:rsid w:val="00262F49"/>
    <w:rsid w:val="00263BA9"/>
    <w:rsid w:val="002642E3"/>
    <w:rsid w:val="00264475"/>
    <w:rsid w:val="00264C21"/>
    <w:rsid w:val="00264E08"/>
    <w:rsid w:val="00265C53"/>
    <w:rsid w:val="002665E1"/>
    <w:rsid w:val="00266BA4"/>
    <w:rsid w:val="00270B73"/>
    <w:rsid w:val="002710AC"/>
    <w:rsid w:val="00271665"/>
    <w:rsid w:val="00271CBE"/>
    <w:rsid w:val="00272D2A"/>
    <w:rsid w:val="00273B9A"/>
    <w:rsid w:val="00274010"/>
    <w:rsid w:val="002743E5"/>
    <w:rsid w:val="00274F6B"/>
    <w:rsid w:val="0027549E"/>
    <w:rsid w:val="00276AD9"/>
    <w:rsid w:val="00277F2B"/>
    <w:rsid w:val="00277F53"/>
    <w:rsid w:val="00277F7F"/>
    <w:rsid w:val="00280067"/>
    <w:rsid w:val="00280443"/>
    <w:rsid w:val="0028208D"/>
    <w:rsid w:val="002825D6"/>
    <w:rsid w:val="0028294C"/>
    <w:rsid w:val="00282FE5"/>
    <w:rsid w:val="00283154"/>
    <w:rsid w:val="00283F95"/>
    <w:rsid w:val="002846EB"/>
    <w:rsid w:val="0028490C"/>
    <w:rsid w:val="00284A49"/>
    <w:rsid w:val="00284FB2"/>
    <w:rsid w:val="002855FF"/>
    <w:rsid w:val="0028565E"/>
    <w:rsid w:val="00285EE1"/>
    <w:rsid w:val="002869A1"/>
    <w:rsid w:val="0028736B"/>
    <w:rsid w:val="00290505"/>
    <w:rsid w:val="00290D7D"/>
    <w:rsid w:val="00292D0D"/>
    <w:rsid w:val="0029405C"/>
    <w:rsid w:val="00294217"/>
    <w:rsid w:val="00294559"/>
    <w:rsid w:val="00295618"/>
    <w:rsid w:val="00295A07"/>
    <w:rsid w:val="00295DF8"/>
    <w:rsid w:val="00296592"/>
    <w:rsid w:val="00296EEA"/>
    <w:rsid w:val="0029771B"/>
    <w:rsid w:val="0029790A"/>
    <w:rsid w:val="00297D20"/>
    <w:rsid w:val="002A10DA"/>
    <w:rsid w:val="002A1EAF"/>
    <w:rsid w:val="002A217E"/>
    <w:rsid w:val="002A3723"/>
    <w:rsid w:val="002A4A40"/>
    <w:rsid w:val="002A51E8"/>
    <w:rsid w:val="002A6110"/>
    <w:rsid w:val="002A6BC7"/>
    <w:rsid w:val="002B4F7D"/>
    <w:rsid w:val="002B4FDC"/>
    <w:rsid w:val="002B5580"/>
    <w:rsid w:val="002B6223"/>
    <w:rsid w:val="002B650B"/>
    <w:rsid w:val="002B6567"/>
    <w:rsid w:val="002B7321"/>
    <w:rsid w:val="002B7578"/>
    <w:rsid w:val="002B762B"/>
    <w:rsid w:val="002B7A6D"/>
    <w:rsid w:val="002B7BEF"/>
    <w:rsid w:val="002B7C5F"/>
    <w:rsid w:val="002C03B0"/>
    <w:rsid w:val="002C0DFF"/>
    <w:rsid w:val="002C0E09"/>
    <w:rsid w:val="002C0F16"/>
    <w:rsid w:val="002C16F0"/>
    <w:rsid w:val="002C17D9"/>
    <w:rsid w:val="002C1831"/>
    <w:rsid w:val="002C1BBC"/>
    <w:rsid w:val="002C3C76"/>
    <w:rsid w:val="002C51E9"/>
    <w:rsid w:val="002C54F2"/>
    <w:rsid w:val="002C5749"/>
    <w:rsid w:val="002C57C5"/>
    <w:rsid w:val="002C5E50"/>
    <w:rsid w:val="002C6ABA"/>
    <w:rsid w:val="002C70AE"/>
    <w:rsid w:val="002C75CC"/>
    <w:rsid w:val="002C77B8"/>
    <w:rsid w:val="002D0E62"/>
    <w:rsid w:val="002D0EE3"/>
    <w:rsid w:val="002D17D4"/>
    <w:rsid w:val="002D3604"/>
    <w:rsid w:val="002D44D1"/>
    <w:rsid w:val="002D4C15"/>
    <w:rsid w:val="002D58FC"/>
    <w:rsid w:val="002D5A8E"/>
    <w:rsid w:val="002D5DBF"/>
    <w:rsid w:val="002D64EC"/>
    <w:rsid w:val="002D6C9D"/>
    <w:rsid w:val="002D7263"/>
    <w:rsid w:val="002D72FA"/>
    <w:rsid w:val="002D7B47"/>
    <w:rsid w:val="002E1027"/>
    <w:rsid w:val="002E14D3"/>
    <w:rsid w:val="002E1760"/>
    <w:rsid w:val="002E2328"/>
    <w:rsid w:val="002E35DA"/>
    <w:rsid w:val="002E4BC0"/>
    <w:rsid w:val="002E5DDF"/>
    <w:rsid w:val="002E5F32"/>
    <w:rsid w:val="002E60B0"/>
    <w:rsid w:val="002E76B0"/>
    <w:rsid w:val="002E7D4B"/>
    <w:rsid w:val="002E7EDA"/>
    <w:rsid w:val="002E7FD8"/>
    <w:rsid w:val="002F2612"/>
    <w:rsid w:val="002F2AC3"/>
    <w:rsid w:val="002F33C1"/>
    <w:rsid w:val="002F4CE8"/>
    <w:rsid w:val="002F521C"/>
    <w:rsid w:val="002F6153"/>
    <w:rsid w:val="002F6542"/>
    <w:rsid w:val="002F682B"/>
    <w:rsid w:val="002F69F3"/>
    <w:rsid w:val="002F6B8F"/>
    <w:rsid w:val="002F6BC5"/>
    <w:rsid w:val="002F7061"/>
    <w:rsid w:val="002F7374"/>
    <w:rsid w:val="002F7AF7"/>
    <w:rsid w:val="002F7CFB"/>
    <w:rsid w:val="0030081F"/>
    <w:rsid w:val="00300E88"/>
    <w:rsid w:val="00300FE2"/>
    <w:rsid w:val="00301397"/>
    <w:rsid w:val="0030193A"/>
    <w:rsid w:val="00301B99"/>
    <w:rsid w:val="00302345"/>
    <w:rsid w:val="00302487"/>
    <w:rsid w:val="00302DE1"/>
    <w:rsid w:val="0030324A"/>
    <w:rsid w:val="00303B3B"/>
    <w:rsid w:val="00304440"/>
    <w:rsid w:val="003044D2"/>
    <w:rsid w:val="00304527"/>
    <w:rsid w:val="00304791"/>
    <w:rsid w:val="00304811"/>
    <w:rsid w:val="00304E0F"/>
    <w:rsid w:val="00305081"/>
    <w:rsid w:val="003052BE"/>
    <w:rsid w:val="0030587A"/>
    <w:rsid w:val="003070D1"/>
    <w:rsid w:val="003074F8"/>
    <w:rsid w:val="00307623"/>
    <w:rsid w:val="00307D86"/>
    <w:rsid w:val="003100BF"/>
    <w:rsid w:val="003108DF"/>
    <w:rsid w:val="00310C23"/>
    <w:rsid w:val="00310CBC"/>
    <w:rsid w:val="00313AFF"/>
    <w:rsid w:val="003140CE"/>
    <w:rsid w:val="00315362"/>
    <w:rsid w:val="00315A2D"/>
    <w:rsid w:val="00316526"/>
    <w:rsid w:val="00316601"/>
    <w:rsid w:val="00317665"/>
    <w:rsid w:val="0031772C"/>
    <w:rsid w:val="003205BF"/>
    <w:rsid w:val="0032069E"/>
    <w:rsid w:val="0032092E"/>
    <w:rsid w:val="00320DED"/>
    <w:rsid w:val="00320E27"/>
    <w:rsid w:val="003245F8"/>
    <w:rsid w:val="00324641"/>
    <w:rsid w:val="003263FC"/>
    <w:rsid w:val="003270B0"/>
    <w:rsid w:val="00327F42"/>
    <w:rsid w:val="003319D9"/>
    <w:rsid w:val="00331BCE"/>
    <w:rsid w:val="00332894"/>
    <w:rsid w:val="0033292C"/>
    <w:rsid w:val="00332972"/>
    <w:rsid w:val="00332C3E"/>
    <w:rsid w:val="00332D8E"/>
    <w:rsid w:val="00333AD7"/>
    <w:rsid w:val="00333E63"/>
    <w:rsid w:val="0033505B"/>
    <w:rsid w:val="00336356"/>
    <w:rsid w:val="00336821"/>
    <w:rsid w:val="00336B45"/>
    <w:rsid w:val="00336CE1"/>
    <w:rsid w:val="00341F19"/>
    <w:rsid w:val="00342303"/>
    <w:rsid w:val="00342897"/>
    <w:rsid w:val="00342D48"/>
    <w:rsid w:val="0034313F"/>
    <w:rsid w:val="003432FE"/>
    <w:rsid w:val="0034364E"/>
    <w:rsid w:val="00343675"/>
    <w:rsid w:val="00343E61"/>
    <w:rsid w:val="003452A9"/>
    <w:rsid w:val="00345902"/>
    <w:rsid w:val="00345B9B"/>
    <w:rsid w:val="00345BFC"/>
    <w:rsid w:val="00345CCD"/>
    <w:rsid w:val="00346493"/>
    <w:rsid w:val="003479D2"/>
    <w:rsid w:val="003504E7"/>
    <w:rsid w:val="00350C14"/>
    <w:rsid w:val="00350C46"/>
    <w:rsid w:val="003514DB"/>
    <w:rsid w:val="00351C0C"/>
    <w:rsid w:val="00351D3E"/>
    <w:rsid w:val="003529F8"/>
    <w:rsid w:val="00353718"/>
    <w:rsid w:val="00353B06"/>
    <w:rsid w:val="00353BAA"/>
    <w:rsid w:val="00353CC8"/>
    <w:rsid w:val="00355F81"/>
    <w:rsid w:val="0035612B"/>
    <w:rsid w:val="0035660F"/>
    <w:rsid w:val="00356C5B"/>
    <w:rsid w:val="003573A6"/>
    <w:rsid w:val="00357931"/>
    <w:rsid w:val="00361151"/>
    <w:rsid w:val="00361D81"/>
    <w:rsid w:val="00362275"/>
    <w:rsid w:val="0036394A"/>
    <w:rsid w:val="00363D2F"/>
    <w:rsid w:val="00364289"/>
    <w:rsid w:val="0036458C"/>
    <w:rsid w:val="00364EB5"/>
    <w:rsid w:val="003653F6"/>
    <w:rsid w:val="00365CFA"/>
    <w:rsid w:val="0036650F"/>
    <w:rsid w:val="0036659F"/>
    <w:rsid w:val="00366685"/>
    <w:rsid w:val="0036679D"/>
    <w:rsid w:val="00366F1D"/>
    <w:rsid w:val="003700FB"/>
    <w:rsid w:val="003713BD"/>
    <w:rsid w:val="00371429"/>
    <w:rsid w:val="003720E5"/>
    <w:rsid w:val="003723C0"/>
    <w:rsid w:val="0037253E"/>
    <w:rsid w:val="00374333"/>
    <w:rsid w:val="00374485"/>
    <w:rsid w:val="003761A2"/>
    <w:rsid w:val="00376A48"/>
    <w:rsid w:val="00377210"/>
    <w:rsid w:val="00377CCF"/>
    <w:rsid w:val="00377D09"/>
    <w:rsid w:val="00377E4A"/>
    <w:rsid w:val="00380837"/>
    <w:rsid w:val="0038176D"/>
    <w:rsid w:val="003817B3"/>
    <w:rsid w:val="003817F9"/>
    <w:rsid w:val="0038297D"/>
    <w:rsid w:val="00382B91"/>
    <w:rsid w:val="00382BB6"/>
    <w:rsid w:val="003830DE"/>
    <w:rsid w:val="0038343B"/>
    <w:rsid w:val="00384C16"/>
    <w:rsid w:val="0038565F"/>
    <w:rsid w:val="00385836"/>
    <w:rsid w:val="00385CE3"/>
    <w:rsid w:val="00386E53"/>
    <w:rsid w:val="00387089"/>
    <w:rsid w:val="003872A2"/>
    <w:rsid w:val="003903C3"/>
    <w:rsid w:val="003905DB"/>
    <w:rsid w:val="0039087A"/>
    <w:rsid w:val="003912F1"/>
    <w:rsid w:val="0039244A"/>
    <w:rsid w:val="00392A9C"/>
    <w:rsid w:val="00392B7E"/>
    <w:rsid w:val="00392BA2"/>
    <w:rsid w:val="0039315A"/>
    <w:rsid w:val="003931F6"/>
    <w:rsid w:val="00393B6D"/>
    <w:rsid w:val="00393BF2"/>
    <w:rsid w:val="003945D8"/>
    <w:rsid w:val="003947B5"/>
    <w:rsid w:val="00394C1D"/>
    <w:rsid w:val="0039531E"/>
    <w:rsid w:val="003962AB"/>
    <w:rsid w:val="0039715A"/>
    <w:rsid w:val="003A09CB"/>
    <w:rsid w:val="003A0FC9"/>
    <w:rsid w:val="003A114E"/>
    <w:rsid w:val="003A1A95"/>
    <w:rsid w:val="003A25A3"/>
    <w:rsid w:val="003A415B"/>
    <w:rsid w:val="003A6101"/>
    <w:rsid w:val="003A7044"/>
    <w:rsid w:val="003B0385"/>
    <w:rsid w:val="003B09EF"/>
    <w:rsid w:val="003B138B"/>
    <w:rsid w:val="003B19B8"/>
    <w:rsid w:val="003B4158"/>
    <w:rsid w:val="003B4B4B"/>
    <w:rsid w:val="003B5FE6"/>
    <w:rsid w:val="003B6125"/>
    <w:rsid w:val="003B69CD"/>
    <w:rsid w:val="003B6E6C"/>
    <w:rsid w:val="003B74E1"/>
    <w:rsid w:val="003B77D6"/>
    <w:rsid w:val="003C034B"/>
    <w:rsid w:val="003C04F6"/>
    <w:rsid w:val="003C1812"/>
    <w:rsid w:val="003C1E4B"/>
    <w:rsid w:val="003C225B"/>
    <w:rsid w:val="003C2989"/>
    <w:rsid w:val="003C2AC8"/>
    <w:rsid w:val="003C35B2"/>
    <w:rsid w:val="003C3AD4"/>
    <w:rsid w:val="003C4B23"/>
    <w:rsid w:val="003C4BD6"/>
    <w:rsid w:val="003C53C6"/>
    <w:rsid w:val="003C5CAA"/>
    <w:rsid w:val="003C6090"/>
    <w:rsid w:val="003C6118"/>
    <w:rsid w:val="003C6BD5"/>
    <w:rsid w:val="003C6DA0"/>
    <w:rsid w:val="003C6F81"/>
    <w:rsid w:val="003C6F88"/>
    <w:rsid w:val="003D1919"/>
    <w:rsid w:val="003D213C"/>
    <w:rsid w:val="003D21A1"/>
    <w:rsid w:val="003D2F59"/>
    <w:rsid w:val="003D3059"/>
    <w:rsid w:val="003D3C4A"/>
    <w:rsid w:val="003D3D3C"/>
    <w:rsid w:val="003D49D5"/>
    <w:rsid w:val="003D5F55"/>
    <w:rsid w:val="003D711F"/>
    <w:rsid w:val="003D7C98"/>
    <w:rsid w:val="003D7DB9"/>
    <w:rsid w:val="003E0F28"/>
    <w:rsid w:val="003E223B"/>
    <w:rsid w:val="003E286B"/>
    <w:rsid w:val="003E3801"/>
    <w:rsid w:val="003E4240"/>
    <w:rsid w:val="003E4909"/>
    <w:rsid w:val="003E4970"/>
    <w:rsid w:val="003E6188"/>
    <w:rsid w:val="003E6795"/>
    <w:rsid w:val="003E721A"/>
    <w:rsid w:val="003E73B9"/>
    <w:rsid w:val="003E7929"/>
    <w:rsid w:val="003E7E70"/>
    <w:rsid w:val="003F0482"/>
    <w:rsid w:val="003F2B51"/>
    <w:rsid w:val="003F2FE9"/>
    <w:rsid w:val="003F3F02"/>
    <w:rsid w:val="003F4243"/>
    <w:rsid w:val="003F4D65"/>
    <w:rsid w:val="003F4EEA"/>
    <w:rsid w:val="003F538C"/>
    <w:rsid w:val="003F54A7"/>
    <w:rsid w:val="003F57BC"/>
    <w:rsid w:val="003F5AA8"/>
    <w:rsid w:val="003F6196"/>
    <w:rsid w:val="003F6F3E"/>
    <w:rsid w:val="003F79CA"/>
    <w:rsid w:val="003F79E2"/>
    <w:rsid w:val="003F7D39"/>
    <w:rsid w:val="00400D74"/>
    <w:rsid w:val="004010A2"/>
    <w:rsid w:val="00401CE3"/>
    <w:rsid w:val="004025EF"/>
    <w:rsid w:val="00404097"/>
    <w:rsid w:val="00404159"/>
    <w:rsid w:val="0040427A"/>
    <w:rsid w:val="0040427E"/>
    <w:rsid w:val="00405743"/>
    <w:rsid w:val="0040575E"/>
    <w:rsid w:val="00405E38"/>
    <w:rsid w:val="004065D9"/>
    <w:rsid w:val="004073B1"/>
    <w:rsid w:val="00407B5F"/>
    <w:rsid w:val="00410121"/>
    <w:rsid w:val="0041024A"/>
    <w:rsid w:val="00410960"/>
    <w:rsid w:val="00410AA4"/>
    <w:rsid w:val="0041123D"/>
    <w:rsid w:val="00411958"/>
    <w:rsid w:val="00411CAA"/>
    <w:rsid w:val="0041308E"/>
    <w:rsid w:val="004142F2"/>
    <w:rsid w:val="00415378"/>
    <w:rsid w:val="0041768B"/>
    <w:rsid w:val="004178F6"/>
    <w:rsid w:val="0042017D"/>
    <w:rsid w:val="0042264D"/>
    <w:rsid w:val="0042276C"/>
    <w:rsid w:val="00422E64"/>
    <w:rsid w:val="0042343D"/>
    <w:rsid w:val="0042420B"/>
    <w:rsid w:val="004248D4"/>
    <w:rsid w:val="00424BD6"/>
    <w:rsid w:val="00427438"/>
    <w:rsid w:val="004275A7"/>
    <w:rsid w:val="00427ADD"/>
    <w:rsid w:val="00427FC8"/>
    <w:rsid w:val="00430154"/>
    <w:rsid w:val="004307BD"/>
    <w:rsid w:val="0043109E"/>
    <w:rsid w:val="00431DB4"/>
    <w:rsid w:val="00433DE1"/>
    <w:rsid w:val="004347B4"/>
    <w:rsid w:val="0043499E"/>
    <w:rsid w:val="0043584C"/>
    <w:rsid w:val="004368B1"/>
    <w:rsid w:val="00436D52"/>
    <w:rsid w:val="004373E4"/>
    <w:rsid w:val="00441D1D"/>
    <w:rsid w:val="00442E9B"/>
    <w:rsid w:val="004436F1"/>
    <w:rsid w:val="004437C1"/>
    <w:rsid w:val="00444018"/>
    <w:rsid w:val="004444EB"/>
    <w:rsid w:val="00444775"/>
    <w:rsid w:val="004455C4"/>
    <w:rsid w:val="004463E6"/>
    <w:rsid w:val="00446C61"/>
    <w:rsid w:val="004509A6"/>
    <w:rsid w:val="004518D7"/>
    <w:rsid w:val="00451AB4"/>
    <w:rsid w:val="00451EB4"/>
    <w:rsid w:val="0045295B"/>
    <w:rsid w:val="00452F2A"/>
    <w:rsid w:val="004545EF"/>
    <w:rsid w:val="00454610"/>
    <w:rsid w:val="0045519A"/>
    <w:rsid w:val="00455A98"/>
    <w:rsid w:val="00456E9C"/>
    <w:rsid w:val="0045712A"/>
    <w:rsid w:val="004619AC"/>
    <w:rsid w:val="00461EF7"/>
    <w:rsid w:val="00463D53"/>
    <w:rsid w:val="00463D87"/>
    <w:rsid w:val="00464F16"/>
    <w:rsid w:val="00465002"/>
    <w:rsid w:val="004650ED"/>
    <w:rsid w:val="00465583"/>
    <w:rsid w:val="0046697A"/>
    <w:rsid w:val="00466983"/>
    <w:rsid w:val="00466ECA"/>
    <w:rsid w:val="00466ED8"/>
    <w:rsid w:val="0046702C"/>
    <w:rsid w:val="0046713D"/>
    <w:rsid w:val="004672BC"/>
    <w:rsid w:val="00467985"/>
    <w:rsid w:val="00467CAC"/>
    <w:rsid w:val="00470DB0"/>
    <w:rsid w:val="00471C22"/>
    <w:rsid w:val="00471E60"/>
    <w:rsid w:val="00471E89"/>
    <w:rsid w:val="00472D9D"/>
    <w:rsid w:val="00473602"/>
    <w:rsid w:val="00473A8A"/>
    <w:rsid w:val="00473CE3"/>
    <w:rsid w:val="00473F66"/>
    <w:rsid w:val="0047446E"/>
    <w:rsid w:val="00474E26"/>
    <w:rsid w:val="00474FAE"/>
    <w:rsid w:val="004761A8"/>
    <w:rsid w:val="004762F4"/>
    <w:rsid w:val="004765A9"/>
    <w:rsid w:val="00476EDE"/>
    <w:rsid w:val="00477C7C"/>
    <w:rsid w:val="004803BD"/>
    <w:rsid w:val="0048102A"/>
    <w:rsid w:val="00482657"/>
    <w:rsid w:val="00483282"/>
    <w:rsid w:val="00483345"/>
    <w:rsid w:val="004833D7"/>
    <w:rsid w:val="004840EF"/>
    <w:rsid w:val="004867BF"/>
    <w:rsid w:val="00490569"/>
    <w:rsid w:val="0049094F"/>
    <w:rsid w:val="004916F3"/>
    <w:rsid w:val="004922D2"/>
    <w:rsid w:val="00492BE3"/>
    <w:rsid w:val="00492E1B"/>
    <w:rsid w:val="00493179"/>
    <w:rsid w:val="00493ADF"/>
    <w:rsid w:val="00494EC2"/>
    <w:rsid w:val="00495ABD"/>
    <w:rsid w:val="00496C0B"/>
    <w:rsid w:val="00496DEF"/>
    <w:rsid w:val="00496E0E"/>
    <w:rsid w:val="00497387"/>
    <w:rsid w:val="004975C9"/>
    <w:rsid w:val="004A0F88"/>
    <w:rsid w:val="004A1085"/>
    <w:rsid w:val="004A110C"/>
    <w:rsid w:val="004A1223"/>
    <w:rsid w:val="004A28D9"/>
    <w:rsid w:val="004A383B"/>
    <w:rsid w:val="004A4485"/>
    <w:rsid w:val="004A457C"/>
    <w:rsid w:val="004A4EDF"/>
    <w:rsid w:val="004A535A"/>
    <w:rsid w:val="004A5A80"/>
    <w:rsid w:val="004A5ED9"/>
    <w:rsid w:val="004B0753"/>
    <w:rsid w:val="004B152E"/>
    <w:rsid w:val="004B2956"/>
    <w:rsid w:val="004B2A59"/>
    <w:rsid w:val="004B2C0F"/>
    <w:rsid w:val="004B2D52"/>
    <w:rsid w:val="004B2F82"/>
    <w:rsid w:val="004B3550"/>
    <w:rsid w:val="004B5849"/>
    <w:rsid w:val="004B5E2A"/>
    <w:rsid w:val="004B724D"/>
    <w:rsid w:val="004C03F2"/>
    <w:rsid w:val="004C0716"/>
    <w:rsid w:val="004C1308"/>
    <w:rsid w:val="004C18EA"/>
    <w:rsid w:val="004C1949"/>
    <w:rsid w:val="004C1D9B"/>
    <w:rsid w:val="004C25DA"/>
    <w:rsid w:val="004C2842"/>
    <w:rsid w:val="004C4F00"/>
    <w:rsid w:val="004C5E7F"/>
    <w:rsid w:val="004C64E0"/>
    <w:rsid w:val="004C6816"/>
    <w:rsid w:val="004C6D1A"/>
    <w:rsid w:val="004C6F22"/>
    <w:rsid w:val="004C7891"/>
    <w:rsid w:val="004C7C19"/>
    <w:rsid w:val="004D1C28"/>
    <w:rsid w:val="004D267B"/>
    <w:rsid w:val="004D3EF0"/>
    <w:rsid w:val="004D43C9"/>
    <w:rsid w:val="004D4855"/>
    <w:rsid w:val="004D51A2"/>
    <w:rsid w:val="004D6B7D"/>
    <w:rsid w:val="004D6B98"/>
    <w:rsid w:val="004D7118"/>
    <w:rsid w:val="004D7281"/>
    <w:rsid w:val="004E0436"/>
    <w:rsid w:val="004E1096"/>
    <w:rsid w:val="004E157C"/>
    <w:rsid w:val="004E23FF"/>
    <w:rsid w:val="004E3FA3"/>
    <w:rsid w:val="004E4072"/>
    <w:rsid w:val="004E40AE"/>
    <w:rsid w:val="004E4238"/>
    <w:rsid w:val="004E4FBF"/>
    <w:rsid w:val="004E551F"/>
    <w:rsid w:val="004E5B52"/>
    <w:rsid w:val="004E5BD0"/>
    <w:rsid w:val="004E631E"/>
    <w:rsid w:val="004E6C4A"/>
    <w:rsid w:val="004F0315"/>
    <w:rsid w:val="004F03B7"/>
    <w:rsid w:val="004F040D"/>
    <w:rsid w:val="004F2059"/>
    <w:rsid w:val="004F3678"/>
    <w:rsid w:val="004F3C65"/>
    <w:rsid w:val="004F4A10"/>
    <w:rsid w:val="004F4E88"/>
    <w:rsid w:val="004F5939"/>
    <w:rsid w:val="004F5A4C"/>
    <w:rsid w:val="004F7654"/>
    <w:rsid w:val="004F7C79"/>
    <w:rsid w:val="004F7E2A"/>
    <w:rsid w:val="00501141"/>
    <w:rsid w:val="00501B7D"/>
    <w:rsid w:val="005035E0"/>
    <w:rsid w:val="0050421E"/>
    <w:rsid w:val="00504A73"/>
    <w:rsid w:val="00505443"/>
    <w:rsid w:val="00505BC3"/>
    <w:rsid w:val="0050650D"/>
    <w:rsid w:val="00506F5A"/>
    <w:rsid w:val="00507B1A"/>
    <w:rsid w:val="00507C37"/>
    <w:rsid w:val="0051011D"/>
    <w:rsid w:val="005106DE"/>
    <w:rsid w:val="005107AC"/>
    <w:rsid w:val="005108CD"/>
    <w:rsid w:val="00510A17"/>
    <w:rsid w:val="00513C03"/>
    <w:rsid w:val="005146AF"/>
    <w:rsid w:val="005152FD"/>
    <w:rsid w:val="00515EC3"/>
    <w:rsid w:val="00515EEF"/>
    <w:rsid w:val="00516703"/>
    <w:rsid w:val="00517049"/>
    <w:rsid w:val="005174D7"/>
    <w:rsid w:val="0051799F"/>
    <w:rsid w:val="0052049F"/>
    <w:rsid w:val="0052067A"/>
    <w:rsid w:val="00520DDA"/>
    <w:rsid w:val="00520EA4"/>
    <w:rsid w:val="00521783"/>
    <w:rsid w:val="00521990"/>
    <w:rsid w:val="0052277E"/>
    <w:rsid w:val="00522B23"/>
    <w:rsid w:val="00522D05"/>
    <w:rsid w:val="00522E94"/>
    <w:rsid w:val="00523EB6"/>
    <w:rsid w:val="00524AEF"/>
    <w:rsid w:val="00524C5D"/>
    <w:rsid w:val="00525B23"/>
    <w:rsid w:val="00531C4A"/>
    <w:rsid w:val="00531F22"/>
    <w:rsid w:val="00532036"/>
    <w:rsid w:val="005327C5"/>
    <w:rsid w:val="005340F7"/>
    <w:rsid w:val="005349D5"/>
    <w:rsid w:val="00535C0F"/>
    <w:rsid w:val="00536105"/>
    <w:rsid w:val="00536D6C"/>
    <w:rsid w:val="00537013"/>
    <w:rsid w:val="00537B9E"/>
    <w:rsid w:val="00537DB4"/>
    <w:rsid w:val="00540023"/>
    <w:rsid w:val="00542823"/>
    <w:rsid w:val="00544188"/>
    <w:rsid w:val="00544C4F"/>
    <w:rsid w:val="00544D97"/>
    <w:rsid w:val="00544FC5"/>
    <w:rsid w:val="005454D6"/>
    <w:rsid w:val="005456D0"/>
    <w:rsid w:val="00545A4E"/>
    <w:rsid w:val="00545F17"/>
    <w:rsid w:val="005460E8"/>
    <w:rsid w:val="0054703E"/>
    <w:rsid w:val="005478DF"/>
    <w:rsid w:val="00551D60"/>
    <w:rsid w:val="005522F1"/>
    <w:rsid w:val="005525C8"/>
    <w:rsid w:val="00554D6D"/>
    <w:rsid w:val="00556310"/>
    <w:rsid w:val="00556B8F"/>
    <w:rsid w:val="005575C3"/>
    <w:rsid w:val="00560401"/>
    <w:rsid w:val="00564869"/>
    <w:rsid w:val="00565709"/>
    <w:rsid w:val="00565BBB"/>
    <w:rsid w:val="00566100"/>
    <w:rsid w:val="00566585"/>
    <w:rsid w:val="00567661"/>
    <w:rsid w:val="0057062A"/>
    <w:rsid w:val="00570EF8"/>
    <w:rsid w:val="005711EE"/>
    <w:rsid w:val="00571237"/>
    <w:rsid w:val="005712F8"/>
    <w:rsid w:val="0057149F"/>
    <w:rsid w:val="00571B88"/>
    <w:rsid w:val="00572C01"/>
    <w:rsid w:val="00572DB0"/>
    <w:rsid w:val="00573723"/>
    <w:rsid w:val="005749E3"/>
    <w:rsid w:val="005749EE"/>
    <w:rsid w:val="00575C10"/>
    <w:rsid w:val="00575C8D"/>
    <w:rsid w:val="00576FB2"/>
    <w:rsid w:val="00580DDD"/>
    <w:rsid w:val="00580E95"/>
    <w:rsid w:val="00581380"/>
    <w:rsid w:val="0058188E"/>
    <w:rsid w:val="00581A2F"/>
    <w:rsid w:val="00581B0F"/>
    <w:rsid w:val="005822D0"/>
    <w:rsid w:val="00583313"/>
    <w:rsid w:val="00583BC5"/>
    <w:rsid w:val="00583E17"/>
    <w:rsid w:val="00583F97"/>
    <w:rsid w:val="005847CF"/>
    <w:rsid w:val="0058548F"/>
    <w:rsid w:val="00585546"/>
    <w:rsid w:val="00585D9F"/>
    <w:rsid w:val="005867D6"/>
    <w:rsid w:val="00586E49"/>
    <w:rsid w:val="0058726E"/>
    <w:rsid w:val="00591541"/>
    <w:rsid w:val="005916BF"/>
    <w:rsid w:val="00591C0B"/>
    <w:rsid w:val="00593D95"/>
    <w:rsid w:val="00594CA8"/>
    <w:rsid w:val="00595263"/>
    <w:rsid w:val="005964E0"/>
    <w:rsid w:val="00596CFD"/>
    <w:rsid w:val="0059742D"/>
    <w:rsid w:val="00597D4F"/>
    <w:rsid w:val="00597E77"/>
    <w:rsid w:val="005A052B"/>
    <w:rsid w:val="005A1936"/>
    <w:rsid w:val="005A209B"/>
    <w:rsid w:val="005A2850"/>
    <w:rsid w:val="005A2C77"/>
    <w:rsid w:val="005A33AD"/>
    <w:rsid w:val="005A42CF"/>
    <w:rsid w:val="005A4387"/>
    <w:rsid w:val="005A45A2"/>
    <w:rsid w:val="005A6414"/>
    <w:rsid w:val="005A6548"/>
    <w:rsid w:val="005A6808"/>
    <w:rsid w:val="005A6CD1"/>
    <w:rsid w:val="005A7703"/>
    <w:rsid w:val="005A773B"/>
    <w:rsid w:val="005A7E5B"/>
    <w:rsid w:val="005A7E79"/>
    <w:rsid w:val="005B0784"/>
    <w:rsid w:val="005B0CBC"/>
    <w:rsid w:val="005B1292"/>
    <w:rsid w:val="005B12D7"/>
    <w:rsid w:val="005B1C44"/>
    <w:rsid w:val="005B2924"/>
    <w:rsid w:val="005B375B"/>
    <w:rsid w:val="005B428F"/>
    <w:rsid w:val="005B457C"/>
    <w:rsid w:val="005B4DD4"/>
    <w:rsid w:val="005B5000"/>
    <w:rsid w:val="005B5233"/>
    <w:rsid w:val="005C05BE"/>
    <w:rsid w:val="005C095D"/>
    <w:rsid w:val="005C1F1E"/>
    <w:rsid w:val="005C28A4"/>
    <w:rsid w:val="005C2D8F"/>
    <w:rsid w:val="005C3D4F"/>
    <w:rsid w:val="005C3D8F"/>
    <w:rsid w:val="005C4181"/>
    <w:rsid w:val="005C4E6B"/>
    <w:rsid w:val="005C56CB"/>
    <w:rsid w:val="005C5B21"/>
    <w:rsid w:val="005C612F"/>
    <w:rsid w:val="005D0714"/>
    <w:rsid w:val="005D0805"/>
    <w:rsid w:val="005D0979"/>
    <w:rsid w:val="005D10E6"/>
    <w:rsid w:val="005D14FA"/>
    <w:rsid w:val="005D21F7"/>
    <w:rsid w:val="005D30E1"/>
    <w:rsid w:val="005D3DD8"/>
    <w:rsid w:val="005D47CE"/>
    <w:rsid w:val="005D4C61"/>
    <w:rsid w:val="005D5305"/>
    <w:rsid w:val="005D5B4F"/>
    <w:rsid w:val="005D63B3"/>
    <w:rsid w:val="005D63D1"/>
    <w:rsid w:val="005D69C4"/>
    <w:rsid w:val="005D7030"/>
    <w:rsid w:val="005D776A"/>
    <w:rsid w:val="005D7C2B"/>
    <w:rsid w:val="005D7DEA"/>
    <w:rsid w:val="005E069A"/>
    <w:rsid w:val="005E0875"/>
    <w:rsid w:val="005E0C34"/>
    <w:rsid w:val="005E1BCF"/>
    <w:rsid w:val="005E2D69"/>
    <w:rsid w:val="005E2D89"/>
    <w:rsid w:val="005E3687"/>
    <w:rsid w:val="005E44D6"/>
    <w:rsid w:val="005E4C05"/>
    <w:rsid w:val="005E5428"/>
    <w:rsid w:val="005E549E"/>
    <w:rsid w:val="005E5791"/>
    <w:rsid w:val="005E5A35"/>
    <w:rsid w:val="005E5EBB"/>
    <w:rsid w:val="005E6A7A"/>
    <w:rsid w:val="005E7207"/>
    <w:rsid w:val="005E7854"/>
    <w:rsid w:val="005E7863"/>
    <w:rsid w:val="005E7F52"/>
    <w:rsid w:val="005F1223"/>
    <w:rsid w:val="005F2AE4"/>
    <w:rsid w:val="005F2F0A"/>
    <w:rsid w:val="005F38F5"/>
    <w:rsid w:val="005F40B4"/>
    <w:rsid w:val="005F5D1A"/>
    <w:rsid w:val="005F5F80"/>
    <w:rsid w:val="005F6DFA"/>
    <w:rsid w:val="005F77C9"/>
    <w:rsid w:val="005F7CC0"/>
    <w:rsid w:val="00600752"/>
    <w:rsid w:val="00600920"/>
    <w:rsid w:val="00603181"/>
    <w:rsid w:val="00605318"/>
    <w:rsid w:val="00605CC5"/>
    <w:rsid w:val="00606271"/>
    <w:rsid w:val="00606765"/>
    <w:rsid w:val="006067A7"/>
    <w:rsid w:val="00607877"/>
    <w:rsid w:val="00607AF8"/>
    <w:rsid w:val="00610239"/>
    <w:rsid w:val="006109C1"/>
    <w:rsid w:val="006112D6"/>
    <w:rsid w:val="006117F9"/>
    <w:rsid w:val="00612A08"/>
    <w:rsid w:val="00612ED5"/>
    <w:rsid w:val="006153D0"/>
    <w:rsid w:val="0061656C"/>
    <w:rsid w:val="0062099B"/>
    <w:rsid w:val="00620B02"/>
    <w:rsid w:val="00621087"/>
    <w:rsid w:val="00621A80"/>
    <w:rsid w:val="00622AB5"/>
    <w:rsid w:val="00623E90"/>
    <w:rsid w:val="0062426C"/>
    <w:rsid w:val="0062508F"/>
    <w:rsid w:val="00625350"/>
    <w:rsid w:val="0062586E"/>
    <w:rsid w:val="006265D4"/>
    <w:rsid w:val="00627A1A"/>
    <w:rsid w:val="0063111D"/>
    <w:rsid w:val="00632C81"/>
    <w:rsid w:val="0063330E"/>
    <w:rsid w:val="00633B04"/>
    <w:rsid w:val="0063595F"/>
    <w:rsid w:val="00636298"/>
    <w:rsid w:val="0063665F"/>
    <w:rsid w:val="00636E51"/>
    <w:rsid w:val="00636E7B"/>
    <w:rsid w:val="006375D0"/>
    <w:rsid w:val="00640380"/>
    <w:rsid w:val="006406AA"/>
    <w:rsid w:val="006408A5"/>
    <w:rsid w:val="0064102E"/>
    <w:rsid w:val="00641CBF"/>
    <w:rsid w:val="0064210E"/>
    <w:rsid w:val="0064216A"/>
    <w:rsid w:val="0064229C"/>
    <w:rsid w:val="006438FE"/>
    <w:rsid w:val="00643B5F"/>
    <w:rsid w:val="0064674C"/>
    <w:rsid w:val="006468A2"/>
    <w:rsid w:val="00646B50"/>
    <w:rsid w:val="0064712A"/>
    <w:rsid w:val="00650D69"/>
    <w:rsid w:val="00652490"/>
    <w:rsid w:val="006524ED"/>
    <w:rsid w:val="00652EB4"/>
    <w:rsid w:val="00653904"/>
    <w:rsid w:val="00653EED"/>
    <w:rsid w:val="006549C6"/>
    <w:rsid w:val="00654EA5"/>
    <w:rsid w:val="006550A7"/>
    <w:rsid w:val="006568C9"/>
    <w:rsid w:val="006569ED"/>
    <w:rsid w:val="00657419"/>
    <w:rsid w:val="00657F5C"/>
    <w:rsid w:val="006603BF"/>
    <w:rsid w:val="00660B0E"/>
    <w:rsid w:val="00661C67"/>
    <w:rsid w:val="00662918"/>
    <w:rsid w:val="00663499"/>
    <w:rsid w:val="0066577C"/>
    <w:rsid w:val="006664DE"/>
    <w:rsid w:val="0066652C"/>
    <w:rsid w:val="006668DB"/>
    <w:rsid w:val="00666F0C"/>
    <w:rsid w:val="00667978"/>
    <w:rsid w:val="00667B79"/>
    <w:rsid w:val="00670C83"/>
    <w:rsid w:val="00671EF2"/>
    <w:rsid w:val="006730ED"/>
    <w:rsid w:val="00673142"/>
    <w:rsid w:val="00673D22"/>
    <w:rsid w:val="0067554F"/>
    <w:rsid w:val="00675633"/>
    <w:rsid w:val="00675A4E"/>
    <w:rsid w:val="00675ECC"/>
    <w:rsid w:val="006765B2"/>
    <w:rsid w:val="00676907"/>
    <w:rsid w:val="00676A4B"/>
    <w:rsid w:val="00676AD6"/>
    <w:rsid w:val="00680407"/>
    <w:rsid w:val="0068097A"/>
    <w:rsid w:val="00680F17"/>
    <w:rsid w:val="00681155"/>
    <w:rsid w:val="006815ED"/>
    <w:rsid w:val="006817B6"/>
    <w:rsid w:val="00681803"/>
    <w:rsid w:val="00681959"/>
    <w:rsid w:val="00681F9B"/>
    <w:rsid w:val="0068356E"/>
    <w:rsid w:val="00684C9A"/>
    <w:rsid w:val="006851D7"/>
    <w:rsid w:val="006857BA"/>
    <w:rsid w:val="00686579"/>
    <w:rsid w:val="006867F8"/>
    <w:rsid w:val="00687497"/>
    <w:rsid w:val="0068749D"/>
    <w:rsid w:val="006905A7"/>
    <w:rsid w:val="00690651"/>
    <w:rsid w:val="00690BC8"/>
    <w:rsid w:val="00691A17"/>
    <w:rsid w:val="00691CE4"/>
    <w:rsid w:val="00692335"/>
    <w:rsid w:val="006927A9"/>
    <w:rsid w:val="0069322E"/>
    <w:rsid w:val="00693DDC"/>
    <w:rsid w:val="00694C23"/>
    <w:rsid w:val="00695B20"/>
    <w:rsid w:val="00695E99"/>
    <w:rsid w:val="00695FBD"/>
    <w:rsid w:val="00696928"/>
    <w:rsid w:val="006978DA"/>
    <w:rsid w:val="006A0BE7"/>
    <w:rsid w:val="006A0E6D"/>
    <w:rsid w:val="006A14D0"/>
    <w:rsid w:val="006A18E8"/>
    <w:rsid w:val="006A270B"/>
    <w:rsid w:val="006A27D0"/>
    <w:rsid w:val="006A40AD"/>
    <w:rsid w:val="006A4AED"/>
    <w:rsid w:val="006A6081"/>
    <w:rsid w:val="006A6175"/>
    <w:rsid w:val="006A6824"/>
    <w:rsid w:val="006A6955"/>
    <w:rsid w:val="006B017B"/>
    <w:rsid w:val="006B1810"/>
    <w:rsid w:val="006B2719"/>
    <w:rsid w:val="006B2832"/>
    <w:rsid w:val="006B333C"/>
    <w:rsid w:val="006B4AD7"/>
    <w:rsid w:val="006B4E1A"/>
    <w:rsid w:val="006B5310"/>
    <w:rsid w:val="006B5556"/>
    <w:rsid w:val="006B634B"/>
    <w:rsid w:val="006B7154"/>
    <w:rsid w:val="006B7A5D"/>
    <w:rsid w:val="006B7AB7"/>
    <w:rsid w:val="006C1E63"/>
    <w:rsid w:val="006C2149"/>
    <w:rsid w:val="006C2199"/>
    <w:rsid w:val="006C284D"/>
    <w:rsid w:val="006C300C"/>
    <w:rsid w:val="006C33A3"/>
    <w:rsid w:val="006C3446"/>
    <w:rsid w:val="006C3623"/>
    <w:rsid w:val="006C5329"/>
    <w:rsid w:val="006C6C9E"/>
    <w:rsid w:val="006C6DFC"/>
    <w:rsid w:val="006C6F69"/>
    <w:rsid w:val="006D0192"/>
    <w:rsid w:val="006D03C7"/>
    <w:rsid w:val="006D0B7C"/>
    <w:rsid w:val="006D1252"/>
    <w:rsid w:val="006D187A"/>
    <w:rsid w:val="006D3AAF"/>
    <w:rsid w:val="006D3B14"/>
    <w:rsid w:val="006D519E"/>
    <w:rsid w:val="006D51D9"/>
    <w:rsid w:val="006D5636"/>
    <w:rsid w:val="006D57FC"/>
    <w:rsid w:val="006D5C04"/>
    <w:rsid w:val="006D5C7C"/>
    <w:rsid w:val="006D7224"/>
    <w:rsid w:val="006D73C9"/>
    <w:rsid w:val="006D7724"/>
    <w:rsid w:val="006D7B18"/>
    <w:rsid w:val="006E0243"/>
    <w:rsid w:val="006E033D"/>
    <w:rsid w:val="006E1A9D"/>
    <w:rsid w:val="006E2032"/>
    <w:rsid w:val="006E2355"/>
    <w:rsid w:val="006E238D"/>
    <w:rsid w:val="006E23CC"/>
    <w:rsid w:val="006E2E6C"/>
    <w:rsid w:val="006E3053"/>
    <w:rsid w:val="006E3F99"/>
    <w:rsid w:val="006E41E4"/>
    <w:rsid w:val="006E5431"/>
    <w:rsid w:val="006E645F"/>
    <w:rsid w:val="006E7198"/>
    <w:rsid w:val="006E7243"/>
    <w:rsid w:val="006E798A"/>
    <w:rsid w:val="006F0697"/>
    <w:rsid w:val="006F08F6"/>
    <w:rsid w:val="006F0D7D"/>
    <w:rsid w:val="006F30C1"/>
    <w:rsid w:val="006F5BFD"/>
    <w:rsid w:val="006F6DA7"/>
    <w:rsid w:val="006F7337"/>
    <w:rsid w:val="006F767F"/>
    <w:rsid w:val="007003D9"/>
    <w:rsid w:val="0070066F"/>
    <w:rsid w:val="007006E7"/>
    <w:rsid w:val="00701954"/>
    <w:rsid w:val="00702D9F"/>
    <w:rsid w:val="00702F03"/>
    <w:rsid w:val="00703134"/>
    <w:rsid w:val="007035A1"/>
    <w:rsid w:val="00704246"/>
    <w:rsid w:val="00705A6C"/>
    <w:rsid w:val="0070675E"/>
    <w:rsid w:val="00707352"/>
    <w:rsid w:val="007078F8"/>
    <w:rsid w:val="00707A7C"/>
    <w:rsid w:val="00710727"/>
    <w:rsid w:val="007120C2"/>
    <w:rsid w:val="00714A5D"/>
    <w:rsid w:val="00715552"/>
    <w:rsid w:val="00717257"/>
    <w:rsid w:val="007177EA"/>
    <w:rsid w:val="00717B5D"/>
    <w:rsid w:val="00717DA3"/>
    <w:rsid w:val="00717DD7"/>
    <w:rsid w:val="007206A9"/>
    <w:rsid w:val="00720B58"/>
    <w:rsid w:val="007214D8"/>
    <w:rsid w:val="00722912"/>
    <w:rsid w:val="007233C0"/>
    <w:rsid w:val="00723F00"/>
    <w:rsid w:val="00724163"/>
    <w:rsid w:val="007243D2"/>
    <w:rsid w:val="00724779"/>
    <w:rsid w:val="007255E2"/>
    <w:rsid w:val="00725CE3"/>
    <w:rsid w:val="0072672C"/>
    <w:rsid w:val="00726B86"/>
    <w:rsid w:val="00726CAF"/>
    <w:rsid w:val="0072715B"/>
    <w:rsid w:val="0072771C"/>
    <w:rsid w:val="0072771D"/>
    <w:rsid w:val="007277BE"/>
    <w:rsid w:val="00730EEF"/>
    <w:rsid w:val="007312BA"/>
    <w:rsid w:val="007325C9"/>
    <w:rsid w:val="007334E4"/>
    <w:rsid w:val="007334E5"/>
    <w:rsid w:val="00733DD2"/>
    <w:rsid w:val="00735247"/>
    <w:rsid w:val="007355BB"/>
    <w:rsid w:val="0073579B"/>
    <w:rsid w:val="00735D23"/>
    <w:rsid w:val="00736999"/>
    <w:rsid w:val="00736A02"/>
    <w:rsid w:val="00740FCD"/>
    <w:rsid w:val="007418DE"/>
    <w:rsid w:val="0074220A"/>
    <w:rsid w:val="00742BE8"/>
    <w:rsid w:val="00742F7D"/>
    <w:rsid w:val="0074305C"/>
    <w:rsid w:val="00744664"/>
    <w:rsid w:val="00746728"/>
    <w:rsid w:val="007476D1"/>
    <w:rsid w:val="00750728"/>
    <w:rsid w:val="007521D7"/>
    <w:rsid w:val="0075278D"/>
    <w:rsid w:val="0075287C"/>
    <w:rsid w:val="00752A86"/>
    <w:rsid w:val="007535A5"/>
    <w:rsid w:val="00753965"/>
    <w:rsid w:val="00753C5C"/>
    <w:rsid w:val="00755C9B"/>
    <w:rsid w:val="00755E7F"/>
    <w:rsid w:val="0075609A"/>
    <w:rsid w:val="00757130"/>
    <w:rsid w:val="007575EE"/>
    <w:rsid w:val="00757692"/>
    <w:rsid w:val="0076002B"/>
    <w:rsid w:val="0076091F"/>
    <w:rsid w:val="00760B00"/>
    <w:rsid w:val="007620CB"/>
    <w:rsid w:val="0076219F"/>
    <w:rsid w:val="00762EE5"/>
    <w:rsid w:val="007633E7"/>
    <w:rsid w:val="007634B3"/>
    <w:rsid w:val="00763E4B"/>
    <w:rsid w:val="007641A8"/>
    <w:rsid w:val="007641DC"/>
    <w:rsid w:val="007645B8"/>
    <w:rsid w:val="00764BF1"/>
    <w:rsid w:val="00764F2B"/>
    <w:rsid w:val="00765922"/>
    <w:rsid w:val="00766325"/>
    <w:rsid w:val="00767436"/>
    <w:rsid w:val="00770C89"/>
    <w:rsid w:val="007721C8"/>
    <w:rsid w:val="00772933"/>
    <w:rsid w:val="00772CF7"/>
    <w:rsid w:val="00773453"/>
    <w:rsid w:val="0077402E"/>
    <w:rsid w:val="007746D9"/>
    <w:rsid w:val="00774B0F"/>
    <w:rsid w:val="00775C92"/>
    <w:rsid w:val="00775D48"/>
    <w:rsid w:val="007763D2"/>
    <w:rsid w:val="00776886"/>
    <w:rsid w:val="00776E5F"/>
    <w:rsid w:val="00776F11"/>
    <w:rsid w:val="007773DD"/>
    <w:rsid w:val="0077744A"/>
    <w:rsid w:val="00780B1A"/>
    <w:rsid w:val="00780D11"/>
    <w:rsid w:val="00781600"/>
    <w:rsid w:val="00781AFA"/>
    <w:rsid w:val="00781C8E"/>
    <w:rsid w:val="00783873"/>
    <w:rsid w:val="007839C9"/>
    <w:rsid w:val="00783C46"/>
    <w:rsid w:val="007848AC"/>
    <w:rsid w:val="0078690F"/>
    <w:rsid w:val="00787E77"/>
    <w:rsid w:val="00790CD7"/>
    <w:rsid w:val="0079284E"/>
    <w:rsid w:val="00795E51"/>
    <w:rsid w:val="007963A1"/>
    <w:rsid w:val="00796878"/>
    <w:rsid w:val="00796982"/>
    <w:rsid w:val="00796AB0"/>
    <w:rsid w:val="00796B09"/>
    <w:rsid w:val="00796C50"/>
    <w:rsid w:val="00797C1E"/>
    <w:rsid w:val="00797EA8"/>
    <w:rsid w:val="007A01F7"/>
    <w:rsid w:val="007A0F39"/>
    <w:rsid w:val="007A2F87"/>
    <w:rsid w:val="007A3A44"/>
    <w:rsid w:val="007A3A9A"/>
    <w:rsid w:val="007A4843"/>
    <w:rsid w:val="007A536C"/>
    <w:rsid w:val="007A5651"/>
    <w:rsid w:val="007A5A68"/>
    <w:rsid w:val="007A6602"/>
    <w:rsid w:val="007A71D6"/>
    <w:rsid w:val="007A76ED"/>
    <w:rsid w:val="007B004A"/>
    <w:rsid w:val="007B0EB3"/>
    <w:rsid w:val="007B11FE"/>
    <w:rsid w:val="007B157B"/>
    <w:rsid w:val="007B1CC4"/>
    <w:rsid w:val="007B2FC9"/>
    <w:rsid w:val="007B4FF2"/>
    <w:rsid w:val="007B542C"/>
    <w:rsid w:val="007B6ACE"/>
    <w:rsid w:val="007B6C18"/>
    <w:rsid w:val="007B7377"/>
    <w:rsid w:val="007C0763"/>
    <w:rsid w:val="007C0D64"/>
    <w:rsid w:val="007C25DE"/>
    <w:rsid w:val="007C3015"/>
    <w:rsid w:val="007C36CF"/>
    <w:rsid w:val="007C3879"/>
    <w:rsid w:val="007C3B73"/>
    <w:rsid w:val="007C3F8A"/>
    <w:rsid w:val="007C433D"/>
    <w:rsid w:val="007C4889"/>
    <w:rsid w:val="007C546F"/>
    <w:rsid w:val="007C5FF3"/>
    <w:rsid w:val="007C6121"/>
    <w:rsid w:val="007C666F"/>
    <w:rsid w:val="007C7441"/>
    <w:rsid w:val="007D0BC8"/>
    <w:rsid w:val="007D0FCD"/>
    <w:rsid w:val="007D1859"/>
    <w:rsid w:val="007D3231"/>
    <w:rsid w:val="007D41F8"/>
    <w:rsid w:val="007D4393"/>
    <w:rsid w:val="007D5366"/>
    <w:rsid w:val="007D5651"/>
    <w:rsid w:val="007D56A3"/>
    <w:rsid w:val="007D5793"/>
    <w:rsid w:val="007D6070"/>
    <w:rsid w:val="007D7098"/>
    <w:rsid w:val="007D7A26"/>
    <w:rsid w:val="007D7B64"/>
    <w:rsid w:val="007E0210"/>
    <w:rsid w:val="007E063D"/>
    <w:rsid w:val="007E258B"/>
    <w:rsid w:val="007E261E"/>
    <w:rsid w:val="007E2CA6"/>
    <w:rsid w:val="007E2E2E"/>
    <w:rsid w:val="007E2F96"/>
    <w:rsid w:val="007E330D"/>
    <w:rsid w:val="007E371E"/>
    <w:rsid w:val="007E4553"/>
    <w:rsid w:val="007E459C"/>
    <w:rsid w:val="007E5BD8"/>
    <w:rsid w:val="007E6372"/>
    <w:rsid w:val="007E738C"/>
    <w:rsid w:val="007E741E"/>
    <w:rsid w:val="007E756F"/>
    <w:rsid w:val="007E7C58"/>
    <w:rsid w:val="007F2551"/>
    <w:rsid w:val="007F34EE"/>
    <w:rsid w:val="007F3670"/>
    <w:rsid w:val="007F49E7"/>
    <w:rsid w:val="007F6A63"/>
    <w:rsid w:val="007F731B"/>
    <w:rsid w:val="007F7AB8"/>
    <w:rsid w:val="007F7B8C"/>
    <w:rsid w:val="007F7E09"/>
    <w:rsid w:val="00800478"/>
    <w:rsid w:val="008014A9"/>
    <w:rsid w:val="00802304"/>
    <w:rsid w:val="00802F10"/>
    <w:rsid w:val="0080313A"/>
    <w:rsid w:val="00803154"/>
    <w:rsid w:val="0080489A"/>
    <w:rsid w:val="00804AE6"/>
    <w:rsid w:val="00804C62"/>
    <w:rsid w:val="00804E7C"/>
    <w:rsid w:val="00805779"/>
    <w:rsid w:val="0080608C"/>
    <w:rsid w:val="00806F34"/>
    <w:rsid w:val="008070BC"/>
    <w:rsid w:val="00807F56"/>
    <w:rsid w:val="008105C9"/>
    <w:rsid w:val="00810657"/>
    <w:rsid w:val="00810CAC"/>
    <w:rsid w:val="008117D9"/>
    <w:rsid w:val="00811AF0"/>
    <w:rsid w:val="00812207"/>
    <w:rsid w:val="00812376"/>
    <w:rsid w:val="00812A01"/>
    <w:rsid w:val="00812D61"/>
    <w:rsid w:val="00815B66"/>
    <w:rsid w:val="00815C8E"/>
    <w:rsid w:val="008163A3"/>
    <w:rsid w:val="008164B1"/>
    <w:rsid w:val="00816DB6"/>
    <w:rsid w:val="00817BE8"/>
    <w:rsid w:val="00820166"/>
    <w:rsid w:val="008205C8"/>
    <w:rsid w:val="00820DE2"/>
    <w:rsid w:val="0082106E"/>
    <w:rsid w:val="008228D6"/>
    <w:rsid w:val="00824153"/>
    <w:rsid w:val="0082429D"/>
    <w:rsid w:val="00824CC1"/>
    <w:rsid w:val="0082520E"/>
    <w:rsid w:val="0082642C"/>
    <w:rsid w:val="0082651D"/>
    <w:rsid w:val="00826570"/>
    <w:rsid w:val="00826A2E"/>
    <w:rsid w:val="0082755B"/>
    <w:rsid w:val="00827613"/>
    <w:rsid w:val="00827B78"/>
    <w:rsid w:val="00827EEE"/>
    <w:rsid w:val="00830195"/>
    <w:rsid w:val="00830423"/>
    <w:rsid w:val="00831910"/>
    <w:rsid w:val="00831917"/>
    <w:rsid w:val="00831B6C"/>
    <w:rsid w:val="0083254B"/>
    <w:rsid w:val="00833034"/>
    <w:rsid w:val="008342EB"/>
    <w:rsid w:val="00835062"/>
    <w:rsid w:val="00835777"/>
    <w:rsid w:val="00835E3A"/>
    <w:rsid w:val="00836447"/>
    <w:rsid w:val="00836CD3"/>
    <w:rsid w:val="00836E21"/>
    <w:rsid w:val="00840701"/>
    <w:rsid w:val="008414BF"/>
    <w:rsid w:val="00841A00"/>
    <w:rsid w:val="00842370"/>
    <w:rsid w:val="0084386C"/>
    <w:rsid w:val="0084460C"/>
    <w:rsid w:val="008448D6"/>
    <w:rsid w:val="00845B87"/>
    <w:rsid w:val="00845CFA"/>
    <w:rsid w:val="00846007"/>
    <w:rsid w:val="00846290"/>
    <w:rsid w:val="00846B91"/>
    <w:rsid w:val="0084740C"/>
    <w:rsid w:val="00847ED7"/>
    <w:rsid w:val="00850824"/>
    <w:rsid w:val="008508F9"/>
    <w:rsid w:val="00851069"/>
    <w:rsid w:val="00851A8B"/>
    <w:rsid w:val="0085255F"/>
    <w:rsid w:val="008533B9"/>
    <w:rsid w:val="008534C3"/>
    <w:rsid w:val="0085400D"/>
    <w:rsid w:val="00854DBC"/>
    <w:rsid w:val="008554AF"/>
    <w:rsid w:val="008554BA"/>
    <w:rsid w:val="00855CA3"/>
    <w:rsid w:val="00855D33"/>
    <w:rsid w:val="00856361"/>
    <w:rsid w:val="00856D92"/>
    <w:rsid w:val="00857A3C"/>
    <w:rsid w:val="0086006B"/>
    <w:rsid w:val="008619F7"/>
    <w:rsid w:val="00861B0D"/>
    <w:rsid w:val="00864056"/>
    <w:rsid w:val="00864557"/>
    <w:rsid w:val="0086482E"/>
    <w:rsid w:val="008649C9"/>
    <w:rsid w:val="00864B37"/>
    <w:rsid w:val="00864F82"/>
    <w:rsid w:val="00867B80"/>
    <w:rsid w:val="00872487"/>
    <w:rsid w:val="00872C56"/>
    <w:rsid w:val="008731E3"/>
    <w:rsid w:val="008734CC"/>
    <w:rsid w:val="00873893"/>
    <w:rsid w:val="008742B6"/>
    <w:rsid w:val="00874718"/>
    <w:rsid w:val="0087474B"/>
    <w:rsid w:val="008758B7"/>
    <w:rsid w:val="00876363"/>
    <w:rsid w:val="008772EF"/>
    <w:rsid w:val="008778C7"/>
    <w:rsid w:val="00877F65"/>
    <w:rsid w:val="0088057A"/>
    <w:rsid w:val="00880885"/>
    <w:rsid w:val="00881F20"/>
    <w:rsid w:val="008828D1"/>
    <w:rsid w:val="00882ABD"/>
    <w:rsid w:val="008831C3"/>
    <w:rsid w:val="008840D3"/>
    <w:rsid w:val="0088484F"/>
    <w:rsid w:val="00884A84"/>
    <w:rsid w:val="00884FE6"/>
    <w:rsid w:val="00885D8B"/>
    <w:rsid w:val="00886025"/>
    <w:rsid w:val="00887960"/>
    <w:rsid w:val="00887F17"/>
    <w:rsid w:val="008904A1"/>
    <w:rsid w:val="00891BA0"/>
    <w:rsid w:val="00891E82"/>
    <w:rsid w:val="00893571"/>
    <w:rsid w:val="00893675"/>
    <w:rsid w:val="00894411"/>
    <w:rsid w:val="00894D5F"/>
    <w:rsid w:val="008953E0"/>
    <w:rsid w:val="0089600C"/>
    <w:rsid w:val="008960B2"/>
    <w:rsid w:val="008965FD"/>
    <w:rsid w:val="00896968"/>
    <w:rsid w:val="00896FF1"/>
    <w:rsid w:val="008A0443"/>
    <w:rsid w:val="008A052D"/>
    <w:rsid w:val="008A1E68"/>
    <w:rsid w:val="008A2036"/>
    <w:rsid w:val="008A24B2"/>
    <w:rsid w:val="008A297E"/>
    <w:rsid w:val="008A4361"/>
    <w:rsid w:val="008A6443"/>
    <w:rsid w:val="008A7A9F"/>
    <w:rsid w:val="008B0950"/>
    <w:rsid w:val="008B0B3D"/>
    <w:rsid w:val="008B1508"/>
    <w:rsid w:val="008B1533"/>
    <w:rsid w:val="008B21E3"/>
    <w:rsid w:val="008B4611"/>
    <w:rsid w:val="008B4DED"/>
    <w:rsid w:val="008B60B3"/>
    <w:rsid w:val="008B62FC"/>
    <w:rsid w:val="008B7D78"/>
    <w:rsid w:val="008C00D7"/>
    <w:rsid w:val="008C0381"/>
    <w:rsid w:val="008C048B"/>
    <w:rsid w:val="008C048D"/>
    <w:rsid w:val="008C07D3"/>
    <w:rsid w:val="008C231E"/>
    <w:rsid w:val="008C235E"/>
    <w:rsid w:val="008C3493"/>
    <w:rsid w:val="008C426D"/>
    <w:rsid w:val="008C46FD"/>
    <w:rsid w:val="008C484F"/>
    <w:rsid w:val="008C48FF"/>
    <w:rsid w:val="008C60E7"/>
    <w:rsid w:val="008C6EF2"/>
    <w:rsid w:val="008C7BEE"/>
    <w:rsid w:val="008D108B"/>
    <w:rsid w:val="008D174B"/>
    <w:rsid w:val="008D35CF"/>
    <w:rsid w:val="008D5D46"/>
    <w:rsid w:val="008D7478"/>
    <w:rsid w:val="008D7A6E"/>
    <w:rsid w:val="008E03C0"/>
    <w:rsid w:val="008E10A3"/>
    <w:rsid w:val="008E1327"/>
    <w:rsid w:val="008E1AED"/>
    <w:rsid w:val="008E2EF6"/>
    <w:rsid w:val="008E3D29"/>
    <w:rsid w:val="008E419D"/>
    <w:rsid w:val="008E4ADB"/>
    <w:rsid w:val="008E4CDA"/>
    <w:rsid w:val="008E4EE0"/>
    <w:rsid w:val="008E51DB"/>
    <w:rsid w:val="008E5CB8"/>
    <w:rsid w:val="008E6CDB"/>
    <w:rsid w:val="008E7207"/>
    <w:rsid w:val="008E7364"/>
    <w:rsid w:val="008E743C"/>
    <w:rsid w:val="008E7620"/>
    <w:rsid w:val="008E7E5B"/>
    <w:rsid w:val="008F09FC"/>
    <w:rsid w:val="008F0C48"/>
    <w:rsid w:val="008F0F99"/>
    <w:rsid w:val="008F1766"/>
    <w:rsid w:val="008F2D35"/>
    <w:rsid w:val="008F2E5A"/>
    <w:rsid w:val="008F4540"/>
    <w:rsid w:val="008F4B49"/>
    <w:rsid w:val="008F55B7"/>
    <w:rsid w:val="008F5DC1"/>
    <w:rsid w:val="008F6DBB"/>
    <w:rsid w:val="008F7BEC"/>
    <w:rsid w:val="009001DF"/>
    <w:rsid w:val="00900B32"/>
    <w:rsid w:val="00900D96"/>
    <w:rsid w:val="00900FB9"/>
    <w:rsid w:val="00901AD5"/>
    <w:rsid w:val="00901AD6"/>
    <w:rsid w:val="00902B18"/>
    <w:rsid w:val="00903511"/>
    <w:rsid w:val="00905507"/>
    <w:rsid w:val="00905725"/>
    <w:rsid w:val="00905727"/>
    <w:rsid w:val="00905892"/>
    <w:rsid w:val="009066C4"/>
    <w:rsid w:val="00906C0D"/>
    <w:rsid w:val="0090759D"/>
    <w:rsid w:val="00910627"/>
    <w:rsid w:val="00911557"/>
    <w:rsid w:val="00912273"/>
    <w:rsid w:val="009128DC"/>
    <w:rsid w:val="00912DCE"/>
    <w:rsid w:val="00914521"/>
    <w:rsid w:val="009149DD"/>
    <w:rsid w:val="009151E3"/>
    <w:rsid w:val="009161AE"/>
    <w:rsid w:val="00916368"/>
    <w:rsid w:val="009166DD"/>
    <w:rsid w:val="00916A23"/>
    <w:rsid w:val="00916DBD"/>
    <w:rsid w:val="00916ED0"/>
    <w:rsid w:val="00917102"/>
    <w:rsid w:val="009173DE"/>
    <w:rsid w:val="00917E0A"/>
    <w:rsid w:val="00920512"/>
    <w:rsid w:val="00920D8A"/>
    <w:rsid w:val="00920D8E"/>
    <w:rsid w:val="0092111A"/>
    <w:rsid w:val="009216F5"/>
    <w:rsid w:val="00921A8A"/>
    <w:rsid w:val="009220F4"/>
    <w:rsid w:val="00922980"/>
    <w:rsid w:val="00922A63"/>
    <w:rsid w:val="00923036"/>
    <w:rsid w:val="009236B1"/>
    <w:rsid w:val="0092452B"/>
    <w:rsid w:val="00924DF3"/>
    <w:rsid w:val="0092674A"/>
    <w:rsid w:val="009268A2"/>
    <w:rsid w:val="009270AB"/>
    <w:rsid w:val="009275B2"/>
    <w:rsid w:val="00927DD3"/>
    <w:rsid w:val="00927FC3"/>
    <w:rsid w:val="00931449"/>
    <w:rsid w:val="00931575"/>
    <w:rsid w:val="00931EC6"/>
    <w:rsid w:val="00932609"/>
    <w:rsid w:val="009329C6"/>
    <w:rsid w:val="00932C40"/>
    <w:rsid w:val="00933106"/>
    <w:rsid w:val="009366F2"/>
    <w:rsid w:val="00936950"/>
    <w:rsid w:val="00936A30"/>
    <w:rsid w:val="00937CEA"/>
    <w:rsid w:val="00937D48"/>
    <w:rsid w:val="00940228"/>
    <w:rsid w:val="00941EA3"/>
    <w:rsid w:val="00942B51"/>
    <w:rsid w:val="00942F72"/>
    <w:rsid w:val="009437E9"/>
    <w:rsid w:val="00943B12"/>
    <w:rsid w:val="00943D86"/>
    <w:rsid w:val="00944488"/>
    <w:rsid w:val="0094455C"/>
    <w:rsid w:val="00944F46"/>
    <w:rsid w:val="009451E4"/>
    <w:rsid w:val="00946705"/>
    <w:rsid w:val="009470B4"/>
    <w:rsid w:val="00947182"/>
    <w:rsid w:val="00951314"/>
    <w:rsid w:val="00951F96"/>
    <w:rsid w:val="009528B0"/>
    <w:rsid w:val="00952954"/>
    <w:rsid w:val="00952D30"/>
    <w:rsid w:val="009533EE"/>
    <w:rsid w:val="00954312"/>
    <w:rsid w:val="00954477"/>
    <w:rsid w:val="00954585"/>
    <w:rsid w:val="00954BD2"/>
    <w:rsid w:val="00955A11"/>
    <w:rsid w:val="00955BDC"/>
    <w:rsid w:val="009565D5"/>
    <w:rsid w:val="009601F6"/>
    <w:rsid w:val="0096028D"/>
    <w:rsid w:val="00963555"/>
    <w:rsid w:val="009636D3"/>
    <w:rsid w:val="00964E41"/>
    <w:rsid w:val="00965482"/>
    <w:rsid w:val="00966E12"/>
    <w:rsid w:val="0097080E"/>
    <w:rsid w:val="0097148E"/>
    <w:rsid w:val="00972B72"/>
    <w:rsid w:val="00972C1B"/>
    <w:rsid w:val="00972D89"/>
    <w:rsid w:val="00972F97"/>
    <w:rsid w:val="0097432F"/>
    <w:rsid w:val="00976565"/>
    <w:rsid w:val="0097762E"/>
    <w:rsid w:val="0097770D"/>
    <w:rsid w:val="00977EE8"/>
    <w:rsid w:val="0098058A"/>
    <w:rsid w:val="009818D0"/>
    <w:rsid w:val="009827DF"/>
    <w:rsid w:val="0098348E"/>
    <w:rsid w:val="00983C33"/>
    <w:rsid w:val="00983C9A"/>
    <w:rsid w:val="00983D47"/>
    <w:rsid w:val="00984049"/>
    <w:rsid w:val="00986285"/>
    <w:rsid w:val="00986B21"/>
    <w:rsid w:val="009873BA"/>
    <w:rsid w:val="0098778C"/>
    <w:rsid w:val="00987DE7"/>
    <w:rsid w:val="0099001B"/>
    <w:rsid w:val="0099002F"/>
    <w:rsid w:val="0099015F"/>
    <w:rsid w:val="009907C9"/>
    <w:rsid w:val="0099121F"/>
    <w:rsid w:val="00991382"/>
    <w:rsid w:val="009913E3"/>
    <w:rsid w:val="00991770"/>
    <w:rsid w:val="00991947"/>
    <w:rsid w:val="00991B86"/>
    <w:rsid w:val="00993C78"/>
    <w:rsid w:val="00994366"/>
    <w:rsid w:val="009943C0"/>
    <w:rsid w:val="00994A78"/>
    <w:rsid w:val="009955EF"/>
    <w:rsid w:val="009959F5"/>
    <w:rsid w:val="00995A09"/>
    <w:rsid w:val="00996FC5"/>
    <w:rsid w:val="009972E2"/>
    <w:rsid w:val="009A0343"/>
    <w:rsid w:val="009A03C0"/>
    <w:rsid w:val="009A0E8D"/>
    <w:rsid w:val="009A0FAE"/>
    <w:rsid w:val="009A17B8"/>
    <w:rsid w:val="009A2FF9"/>
    <w:rsid w:val="009A3885"/>
    <w:rsid w:val="009A4116"/>
    <w:rsid w:val="009A4D99"/>
    <w:rsid w:val="009A64A6"/>
    <w:rsid w:val="009A7615"/>
    <w:rsid w:val="009A7911"/>
    <w:rsid w:val="009A7B48"/>
    <w:rsid w:val="009B0524"/>
    <w:rsid w:val="009B21E5"/>
    <w:rsid w:val="009B2732"/>
    <w:rsid w:val="009B369B"/>
    <w:rsid w:val="009B3F69"/>
    <w:rsid w:val="009B46AF"/>
    <w:rsid w:val="009B4A7A"/>
    <w:rsid w:val="009B4B3F"/>
    <w:rsid w:val="009B5564"/>
    <w:rsid w:val="009B5595"/>
    <w:rsid w:val="009B5AC2"/>
    <w:rsid w:val="009B5B7B"/>
    <w:rsid w:val="009B6EFD"/>
    <w:rsid w:val="009C016F"/>
    <w:rsid w:val="009C019A"/>
    <w:rsid w:val="009C06CA"/>
    <w:rsid w:val="009C07A2"/>
    <w:rsid w:val="009C11EB"/>
    <w:rsid w:val="009C1A1E"/>
    <w:rsid w:val="009C2225"/>
    <w:rsid w:val="009C31A9"/>
    <w:rsid w:val="009C3527"/>
    <w:rsid w:val="009C36B1"/>
    <w:rsid w:val="009C45E3"/>
    <w:rsid w:val="009C4FAF"/>
    <w:rsid w:val="009C5CB9"/>
    <w:rsid w:val="009C6A63"/>
    <w:rsid w:val="009C7D32"/>
    <w:rsid w:val="009D00CE"/>
    <w:rsid w:val="009D015D"/>
    <w:rsid w:val="009D0F2B"/>
    <w:rsid w:val="009D158E"/>
    <w:rsid w:val="009D1BEE"/>
    <w:rsid w:val="009D2E0D"/>
    <w:rsid w:val="009D3157"/>
    <w:rsid w:val="009D408E"/>
    <w:rsid w:val="009D63D1"/>
    <w:rsid w:val="009D6409"/>
    <w:rsid w:val="009E1A5A"/>
    <w:rsid w:val="009E1EFF"/>
    <w:rsid w:val="009E321A"/>
    <w:rsid w:val="009E35F7"/>
    <w:rsid w:val="009E4BBD"/>
    <w:rsid w:val="009E4F9D"/>
    <w:rsid w:val="009E53F7"/>
    <w:rsid w:val="009E58F3"/>
    <w:rsid w:val="009E5DE7"/>
    <w:rsid w:val="009E6C0E"/>
    <w:rsid w:val="009E6C37"/>
    <w:rsid w:val="009E7AB4"/>
    <w:rsid w:val="009E7FFB"/>
    <w:rsid w:val="009F09CD"/>
    <w:rsid w:val="009F1565"/>
    <w:rsid w:val="009F20D0"/>
    <w:rsid w:val="009F287D"/>
    <w:rsid w:val="009F28AC"/>
    <w:rsid w:val="009F2A79"/>
    <w:rsid w:val="009F2ECE"/>
    <w:rsid w:val="009F3179"/>
    <w:rsid w:val="009F3922"/>
    <w:rsid w:val="009F3C61"/>
    <w:rsid w:val="009F4098"/>
    <w:rsid w:val="009F4229"/>
    <w:rsid w:val="009F50A4"/>
    <w:rsid w:val="009F50D0"/>
    <w:rsid w:val="009F58E4"/>
    <w:rsid w:val="009F5CF4"/>
    <w:rsid w:val="009F5DAA"/>
    <w:rsid w:val="009F5F93"/>
    <w:rsid w:val="009F69F2"/>
    <w:rsid w:val="009F6AB3"/>
    <w:rsid w:val="00A00428"/>
    <w:rsid w:val="00A00D88"/>
    <w:rsid w:val="00A00E89"/>
    <w:rsid w:val="00A00FA9"/>
    <w:rsid w:val="00A02285"/>
    <w:rsid w:val="00A02687"/>
    <w:rsid w:val="00A0309E"/>
    <w:rsid w:val="00A0408D"/>
    <w:rsid w:val="00A04694"/>
    <w:rsid w:val="00A04979"/>
    <w:rsid w:val="00A05980"/>
    <w:rsid w:val="00A05E89"/>
    <w:rsid w:val="00A06B1E"/>
    <w:rsid w:val="00A0707D"/>
    <w:rsid w:val="00A071D6"/>
    <w:rsid w:val="00A10040"/>
    <w:rsid w:val="00A12606"/>
    <w:rsid w:val="00A13200"/>
    <w:rsid w:val="00A1329C"/>
    <w:rsid w:val="00A156DC"/>
    <w:rsid w:val="00A168CC"/>
    <w:rsid w:val="00A169E2"/>
    <w:rsid w:val="00A2076F"/>
    <w:rsid w:val="00A20AFE"/>
    <w:rsid w:val="00A215D0"/>
    <w:rsid w:val="00A21BD9"/>
    <w:rsid w:val="00A21C22"/>
    <w:rsid w:val="00A21C64"/>
    <w:rsid w:val="00A22178"/>
    <w:rsid w:val="00A2229F"/>
    <w:rsid w:val="00A2246C"/>
    <w:rsid w:val="00A22C84"/>
    <w:rsid w:val="00A22ED8"/>
    <w:rsid w:val="00A22FD7"/>
    <w:rsid w:val="00A23448"/>
    <w:rsid w:val="00A237AF"/>
    <w:rsid w:val="00A23A0B"/>
    <w:rsid w:val="00A24C2F"/>
    <w:rsid w:val="00A25B42"/>
    <w:rsid w:val="00A263BB"/>
    <w:rsid w:val="00A26D2D"/>
    <w:rsid w:val="00A2745C"/>
    <w:rsid w:val="00A27FAF"/>
    <w:rsid w:val="00A3056A"/>
    <w:rsid w:val="00A31705"/>
    <w:rsid w:val="00A317DE"/>
    <w:rsid w:val="00A3345D"/>
    <w:rsid w:val="00A33E1C"/>
    <w:rsid w:val="00A34F9C"/>
    <w:rsid w:val="00A3527B"/>
    <w:rsid w:val="00A36D95"/>
    <w:rsid w:val="00A37ED9"/>
    <w:rsid w:val="00A40A41"/>
    <w:rsid w:val="00A40BB4"/>
    <w:rsid w:val="00A41C36"/>
    <w:rsid w:val="00A42015"/>
    <w:rsid w:val="00A42823"/>
    <w:rsid w:val="00A42CE2"/>
    <w:rsid w:val="00A438D2"/>
    <w:rsid w:val="00A4416D"/>
    <w:rsid w:val="00A4436C"/>
    <w:rsid w:val="00A44D0F"/>
    <w:rsid w:val="00A44E26"/>
    <w:rsid w:val="00A45384"/>
    <w:rsid w:val="00A45F8B"/>
    <w:rsid w:val="00A45FF7"/>
    <w:rsid w:val="00A5068C"/>
    <w:rsid w:val="00A50A7D"/>
    <w:rsid w:val="00A50EA2"/>
    <w:rsid w:val="00A53384"/>
    <w:rsid w:val="00A533FE"/>
    <w:rsid w:val="00A535E8"/>
    <w:rsid w:val="00A543F7"/>
    <w:rsid w:val="00A5617A"/>
    <w:rsid w:val="00A564A4"/>
    <w:rsid w:val="00A56832"/>
    <w:rsid w:val="00A57377"/>
    <w:rsid w:val="00A57724"/>
    <w:rsid w:val="00A62AFA"/>
    <w:rsid w:val="00A6419B"/>
    <w:rsid w:val="00A648AB"/>
    <w:rsid w:val="00A6559F"/>
    <w:rsid w:val="00A675C0"/>
    <w:rsid w:val="00A679F7"/>
    <w:rsid w:val="00A67D5D"/>
    <w:rsid w:val="00A67EE0"/>
    <w:rsid w:val="00A70159"/>
    <w:rsid w:val="00A7049B"/>
    <w:rsid w:val="00A716B0"/>
    <w:rsid w:val="00A728A7"/>
    <w:rsid w:val="00A74246"/>
    <w:rsid w:val="00A7486E"/>
    <w:rsid w:val="00A74DC6"/>
    <w:rsid w:val="00A7512E"/>
    <w:rsid w:val="00A7523A"/>
    <w:rsid w:val="00A75FFB"/>
    <w:rsid w:val="00A77001"/>
    <w:rsid w:val="00A77578"/>
    <w:rsid w:val="00A77E38"/>
    <w:rsid w:val="00A8000B"/>
    <w:rsid w:val="00A81ACC"/>
    <w:rsid w:val="00A81C5D"/>
    <w:rsid w:val="00A81C64"/>
    <w:rsid w:val="00A8248D"/>
    <w:rsid w:val="00A826F0"/>
    <w:rsid w:val="00A8295A"/>
    <w:rsid w:val="00A82B37"/>
    <w:rsid w:val="00A82E82"/>
    <w:rsid w:val="00A84E2F"/>
    <w:rsid w:val="00A85320"/>
    <w:rsid w:val="00A85497"/>
    <w:rsid w:val="00A85AC6"/>
    <w:rsid w:val="00A87A0F"/>
    <w:rsid w:val="00A87D60"/>
    <w:rsid w:val="00A9021B"/>
    <w:rsid w:val="00A908D9"/>
    <w:rsid w:val="00A90C36"/>
    <w:rsid w:val="00A9259F"/>
    <w:rsid w:val="00A94BA2"/>
    <w:rsid w:val="00A95EE1"/>
    <w:rsid w:val="00A97BB6"/>
    <w:rsid w:val="00A97F14"/>
    <w:rsid w:val="00AA0237"/>
    <w:rsid w:val="00AA03FC"/>
    <w:rsid w:val="00AA089B"/>
    <w:rsid w:val="00AA0A41"/>
    <w:rsid w:val="00AA1625"/>
    <w:rsid w:val="00AA1BEB"/>
    <w:rsid w:val="00AA235E"/>
    <w:rsid w:val="00AA24EF"/>
    <w:rsid w:val="00AA26C7"/>
    <w:rsid w:val="00AA31B7"/>
    <w:rsid w:val="00AA3C26"/>
    <w:rsid w:val="00AA54E4"/>
    <w:rsid w:val="00AA5A5A"/>
    <w:rsid w:val="00AA5C19"/>
    <w:rsid w:val="00AA5C41"/>
    <w:rsid w:val="00AA614D"/>
    <w:rsid w:val="00AA6EB6"/>
    <w:rsid w:val="00AA70F5"/>
    <w:rsid w:val="00AA7FDD"/>
    <w:rsid w:val="00AB024B"/>
    <w:rsid w:val="00AB120D"/>
    <w:rsid w:val="00AB1D71"/>
    <w:rsid w:val="00AB2DFF"/>
    <w:rsid w:val="00AB2F40"/>
    <w:rsid w:val="00AB2F6D"/>
    <w:rsid w:val="00AB3D82"/>
    <w:rsid w:val="00AB407C"/>
    <w:rsid w:val="00AB4222"/>
    <w:rsid w:val="00AB4ED2"/>
    <w:rsid w:val="00AB6572"/>
    <w:rsid w:val="00AB6FE6"/>
    <w:rsid w:val="00AB746C"/>
    <w:rsid w:val="00AB7E42"/>
    <w:rsid w:val="00AC2701"/>
    <w:rsid w:val="00AC2A84"/>
    <w:rsid w:val="00AC3423"/>
    <w:rsid w:val="00AC3897"/>
    <w:rsid w:val="00AC3F0E"/>
    <w:rsid w:val="00AC5F84"/>
    <w:rsid w:val="00AC662A"/>
    <w:rsid w:val="00AC7B94"/>
    <w:rsid w:val="00AD07D5"/>
    <w:rsid w:val="00AD10E6"/>
    <w:rsid w:val="00AD1479"/>
    <w:rsid w:val="00AD34A8"/>
    <w:rsid w:val="00AD35F4"/>
    <w:rsid w:val="00AD373F"/>
    <w:rsid w:val="00AD4B18"/>
    <w:rsid w:val="00AD4C6D"/>
    <w:rsid w:val="00AD53C9"/>
    <w:rsid w:val="00AD54ED"/>
    <w:rsid w:val="00AD6028"/>
    <w:rsid w:val="00AD625A"/>
    <w:rsid w:val="00AD641F"/>
    <w:rsid w:val="00AD7016"/>
    <w:rsid w:val="00AD78F8"/>
    <w:rsid w:val="00AD7964"/>
    <w:rsid w:val="00AD7C1F"/>
    <w:rsid w:val="00AE083F"/>
    <w:rsid w:val="00AE0CCC"/>
    <w:rsid w:val="00AE18C3"/>
    <w:rsid w:val="00AE1AE5"/>
    <w:rsid w:val="00AE1C64"/>
    <w:rsid w:val="00AE239E"/>
    <w:rsid w:val="00AE2616"/>
    <w:rsid w:val="00AE33F9"/>
    <w:rsid w:val="00AE3998"/>
    <w:rsid w:val="00AE4829"/>
    <w:rsid w:val="00AE4A06"/>
    <w:rsid w:val="00AE56AC"/>
    <w:rsid w:val="00AE578A"/>
    <w:rsid w:val="00AE5A26"/>
    <w:rsid w:val="00AE5AF0"/>
    <w:rsid w:val="00AE6985"/>
    <w:rsid w:val="00AF00C4"/>
    <w:rsid w:val="00AF07E0"/>
    <w:rsid w:val="00AF2A6D"/>
    <w:rsid w:val="00AF5536"/>
    <w:rsid w:val="00AF6592"/>
    <w:rsid w:val="00AF6983"/>
    <w:rsid w:val="00AF6C9F"/>
    <w:rsid w:val="00AF796F"/>
    <w:rsid w:val="00B01E6D"/>
    <w:rsid w:val="00B03860"/>
    <w:rsid w:val="00B03E6C"/>
    <w:rsid w:val="00B046C5"/>
    <w:rsid w:val="00B04717"/>
    <w:rsid w:val="00B047E4"/>
    <w:rsid w:val="00B04FA4"/>
    <w:rsid w:val="00B05324"/>
    <w:rsid w:val="00B05BBE"/>
    <w:rsid w:val="00B05D15"/>
    <w:rsid w:val="00B06803"/>
    <w:rsid w:val="00B0761F"/>
    <w:rsid w:val="00B07668"/>
    <w:rsid w:val="00B07A38"/>
    <w:rsid w:val="00B13240"/>
    <w:rsid w:val="00B13874"/>
    <w:rsid w:val="00B1494C"/>
    <w:rsid w:val="00B14B3D"/>
    <w:rsid w:val="00B15055"/>
    <w:rsid w:val="00B15D94"/>
    <w:rsid w:val="00B162BC"/>
    <w:rsid w:val="00B1668C"/>
    <w:rsid w:val="00B16D79"/>
    <w:rsid w:val="00B1708B"/>
    <w:rsid w:val="00B172F1"/>
    <w:rsid w:val="00B17A28"/>
    <w:rsid w:val="00B203CE"/>
    <w:rsid w:val="00B20E81"/>
    <w:rsid w:val="00B21526"/>
    <w:rsid w:val="00B22434"/>
    <w:rsid w:val="00B22740"/>
    <w:rsid w:val="00B22B82"/>
    <w:rsid w:val="00B23A72"/>
    <w:rsid w:val="00B23CC3"/>
    <w:rsid w:val="00B246B5"/>
    <w:rsid w:val="00B2500C"/>
    <w:rsid w:val="00B25B3B"/>
    <w:rsid w:val="00B25E55"/>
    <w:rsid w:val="00B2677A"/>
    <w:rsid w:val="00B27013"/>
    <w:rsid w:val="00B2717C"/>
    <w:rsid w:val="00B2793C"/>
    <w:rsid w:val="00B30E2E"/>
    <w:rsid w:val="00B311C9"/>
    <w:rsid w:val="00B31C87"/>
    <w:rsid w:val="00B3234C"/>
    <w:rsid w:val="00B327B2"/>
    <w:rsid w:val="00B3446C"/>
    <w:rsid w:val="00B3447A"/>
    <w:rsid w:val="00B3632F"/>
    <w:rsid w:val="00B364DA"/>
    <w:rsid w:val="00B36667"/>
    <w:rsid w:val="00B37076"/>
    <w:rsid w:val="00B37307"/>
    <w:rsid w:val="00B37DC5"/>
    <w:rsid w:val="00B4014E"/>
    <w:rsid w:val="00B40E4D"/>
    <w:rsid w:val="00B41F5C"/>
    <w:rsid w:val="00B4228E"/>
    <w:rsid w:val="00B42C23"/>
    <w:rsid w:val="00B42EC8"/>
    <w:rsid w:val="00B430A3"/>
    <w:rsid w:val="00B4329C"/>
    <w:rsid w:val="00B4356B"/>
    <w:rsid w:val="00B438B5"/>
    <w:rsid w:val="00B44D5B"/>
    <w:rsid w:val="00B45F30"/>
    <w:rsid w:val="00B468D2"/>
    <w:rsid w:val="00B47263"/>
    <w:rsid w:val="00B47E08"/>
    <w:rsid w:val="00B5017D"/>
    <w:rsid w:val="00B50D32"/>
    <w:rsid w:val="00B513DD"/>
    <w:rsid w:val="00B52008"/>
    <w:rsid w:val="00B523D2"/>
    <w:rsid w:val="00B53D15"/>
    <w:rsid w:val="00B53DAE"/>
    <w:rsid w:val="00B548CC"/>
    <w:rsid w:val="00B55697"/>
    <w:rsid w:val="00B56354"/>
    <w:rsid w:val="00B564FF"/>
    <w:rsid w:val="00B57006"/>
    <w:rsid w:val="00B57934"/>
    <w:rsid w:val="00B57A54"/>
    <w:rsid w:val="00B57AA9"/>
    <w:rsid w:val="00B57DBF"/>
    <w:rsid w:val="00B6228F"/>
    <w:rsid w:val="00B62393"/>
    <w:rsid w:val="00B62455"/>
    <w:rsid w:val="00B624EE"/>
    <w:rsid w:val="00B63005"/>
    <w:rsid w:val="00B65099"/>
    <w:rsid w:val="00B6532A"/>
    <w:rsid w:val="00B659DA"/>
    <w:rsid w:val="00B65BE8"/>
    <w:rsid w:val="00B67FAB"/>
    <w:rsid w:val="00B70422"/>
    <w:rsid w:val="00B7094E"/>
    <w:rsid w:val="00B70F3F"/>
    <w:rsid w:val="00B712D0"/>
    <w:rsid w:val="00B71AD4"/>
    <w:rsid w:val="00B71C78"/>
    <w:rsid w:val="00B71F54"/>
    <w:rsid w:val="00B72246"/>
    <w:rsid w:val="00B728B1"/>
    <w:rsid w:val="00B72905"/>
    <w:rsid w:val="00B72D50"/>
    <w:rsid w:val="00B73B13"/>
    <w:rsid w:val="00B73D0E"/>
    <w:rsid w:val="00B73FD0"/>
    <w:rsid w:val="00B7403C"/>
    <w:rsid w:val="00B7494A"/>
    <w:rsid w:val="00B74C8F"/>
    <w:rsid w:val="00B75404"/>
    <w:rsid w:val="00B76386"/>
    <w:rsid w:val="00B76798"/>
    <w:rsid w:val="00B76AFB"/>
    <w:rsid w:val="00B771A3"/>
    <w:rsid w:val="00B77516"/>
    <w:rsid w:val="00B80A0C"/>
    <w:rsid w:val="00B8262E"/>
    <w:rsid w:val="00B83900"/>
    <w:rsid w:val="00B83FF3"/>
    <w:rsid w:val="00B84936"/>
    <w:rsid w:val="00B84DE5"/>
    <w:rsid w:val="00B861C2"/>
    <w:rsid w:val="00B8648D"/>
    <w:rsid w:val="00B86A05"/>
    <w:rsid w:val="00B905F5"/>
    <w:rsid w:val="00B90DBD"/>
    <w:rsid w:val="00B9289F"/>
    <w:rsid w:val="00B93758"/>
    <w:rsid w:val="00B9375E"/>
    <w:rsid w:val="00B93A1E"/>
    <w:rsid w:val="00B93F51"/>
    <w:rsid w:val="00B94149"/>
    <w:rsid w:val="00B94AC4"/>
    <w:rsid w:val="00B96B04"/>
    <w:rsid w:val="00B979C4"/>
    <w:rsid w:val="00B97E92"/>
    <w:rsid w:val="00BA0013"/>
    <w:rsid w:val="00BA037B"/>
    <w:rsid w:val="00BA06EF"/>
    <w:rsid w:val="00BA09CD"/>
    <w:rsid w:val="00BA0C78"/>
    <w:rsid w:val="00BA131B"/>
    <w:rsid w:val="00BA2111"/>
    <w:rsid w:val="00BA232A"/>
    <w:rsid w:val="00BA4763"/>
    <w:rsid w:val="00BA4D5F"/>
    <w:rsid w:val="00BA4F8F"/>
    <w:rsid w:val="00BA59FE"/>
    <w:rsid w:val="00BA6086"/>
    <w:rsid w:val="00BA68A4"/>
    <w:rsid w:val="00BA6D6B"/>
    <w:rsid w:val="00BA7172"/>
    <w:rsid w:val="00BB0A99"/>
    <w:rsid w:val="00BB0BE0"/>
    <w:rsid w:val="00BB11A0"/>
    <w:rsid w:val="00BB42C1"/>
    <w:rsid w:val="00BB434F"/>
    <w:rsid w:val="00BB5BAE"/>
    <w:rsid w:val="00BB5FA4"/>
    <w:rsid w:val="00BB671F"/>
    <w:rsid w:val="00BC2EDB"/>
    <w:rsid w:val="00BC34A2"/>
    <w:rsid w:val="00BC35B4"/>
    <w:rsid w:val="00BC3772"/>
    <w:rsid w:val="00BC3F1C"/>
    <w:rsid w:val="00BC4399"/>
    <w:rsid w:val="00BC67F0"/>
    <w:rsid w:val="00BC70EF"/>
    <w:rsid w:val="00BC7241"/>
    <w:rsid w:val="00BC7985"/>
    <w:rsid w:val="00BD09C4"/>
    <w:rsid w:val="00BD0A12"/>
    <w:rsid w:val="00BD0BAD"/>
    <w:rsid w:val="00BD1BBC"/>
    <w:rsid w:val="00BD24C0"/>
    <w:rsid w:val="00BD2A79"/>
    <w:rsid w:val="00BD3117"/>
    <w:rsid w:val="00BD4199"/>
    <w:rsid w:val="00BD444F"/>
    <w:rsid w:val="00BD4984"/>
    <w:rsid w:val="00BD4D1D"/>
    <w:rsid w:val="00BD552F"/>
    <w:rsid w:val="00BD5569"/>
    <w:rsid w:val="00BD732E"/>
    <w:rsid w:val="00BD7368"/>
    <w:rsid w:val="00BD762A"/>
    <w:rsid w:val="00BD7A68"/>
    <w:rsid w:val="00BD7DB9"/>
    <w:rsid w:val="00BD7EAB"/>
    <w:rsid w:val="00BE01D5"/>
    <w:rsid w:val="00BE1CAF"/>
    <w:rsid w:val="00BE240B"/>
    <w:rsid w:val="00BE2B2E"/>
    <w:rsid w:val="00BE39D9"/>
    <w:rsid w:val="00BE3D8B"/>
    <w:rsid w:val="00BE483E"/>
    <w:rsid w:val="00BE4A77"/>
    <w:rsid w:val="00BE5274"/>
    <w:rsid w:val="00BE62E9"/>
    <w:rsid w:val="00BE69EC"/>
    <w:rsid w:val="00BE73F5"/>
    <w:rsid w:val="00BE753D"/>
    <w:rsid w:val="00BE754A"/>
    <w:rsid w:val="00BF0973"/>
    <w:rsid w:val="00BF0EDD"/>
    <w:rsid w:val="00BF32BD"/>
    <w:rsid w:val="00BF4157"/>
    <w:rsid w:val="00BF4234"/>
    <w:rsid w:val="00BF4555"/>
    <w:rsid w:val="00BF4BD3"/>
    <w:rsid w:val="00BF5925"/>
    <w:rsid w:val="00BF601E"/>
    <w:rsid w:val="00BF6151"/>
    <w:rsid w:val="00BF618D"/>
    <w:rsid w:val="00BF69EA"/>
    <w:rsid w:val="00BF792D"/>
    <w:rsid w:val="00C00191"/>
    <w:rsid w:val="00C019DA"/>
    <w:rsid w:val="00C0309B"/>
    <w:rsid w:val="00C040A8"/>
    <w:rsid w:val="00C0533D"/>
    <w:rsid w:val="00C053E4"/>
    <w:rsid w:val="00C06C13"/>
    <w:rsid w:val="00C06E7B"/>
    <w:rsid w:val="00C13146"/>
    <w:rsid w:val="00C13447"/>
    <w:rsid w:val="00C1431F"/>
    <w:rsid w:val="00C1451D"/>
    <w:rsid w:val="00C159D3"/>
    <w:rsid w:val="00C15A41"/>
    <w:rsid w:val="00C15EFA"/>
    <w:rsid w:val="00C162D5"/>
    <w:rsid w:val="00C16A48"/>
    <w:rsid w:val="00C16C3A"/>
    <w:rsid w:val="00C171E0"/>
    <w:rsid w:val="00C2019B"/>
    <w:rsid w:val="00C20348"/>
    <w:rsid w:val="00C213FB"/>
    <w:rsid w:val="00C2158D"/>
    <w:rsid w:val="00C21F44"/>
    <w:rsid w:val="00C22193"/>
    <w:rsid w:val="00C2374A"/>
    <w:rsid w:val="00C23933"/>
    <w:rsid w:val="00C24BDC"/>
    <w:rsid w:val="00C24F46"/>
    <w:rsid w:val="00C2528D"/>
    <w:rsid w:val="00C25463"/>
    <w:rsid w:val="00C25A42"/>
    <w:rsid w:val="00C27010"/>
    <w:rsid w:val="00C32625"/>
    <w:rsid w:val="00C33055"/>
    <w:rsid w:val="00C34381"/>
    <w:rsid w:val="00C35116"/>
    <w:rsid w:val="00C3534B"/>
    <w:rsid w:val="00C3537D"/>
    <w:rsid w:val="00C369D3"/>
    <w:rsid w:val="00C37764"/>
    <w:rsid w:val="00C37859"/>
    <w:rsid w:val="00C4086C"/>
    <w:rsid w:val="00C408A8"/>
    <w:rsid w:val="00C4101C"/>
    <w:rsid w:val="00C41F2E"/>
    <w:rsid w:val="00C42E05"/>
    <w:rsid w:val="00C433B9"/>
    <w:rsid w:val="00C4417B"/>
    <w:rsid w:val="00C450CC"/>
    <w:rsid w:val="00C4525B"/>
    <w:rsid w:val="00C45578"/>
    <w:rsid w:val="00C457C7"/>
    <w:rsid w:val="00C4597C"/>
    <w:rsid w:val="00C50341"/>
    <w:rsid w:val="00C50500"/>
    <w:rsid w:val="00C51A61"/>
    <w:rsid w:val="00C52888"/>
    <w:rsid w:val="00C52D30"/>
    <w:rsid w:val="00C5568C"/>
    <w:rsid w:val="00C56651"/>
    <w:rsid w:val="00C57BF9"/>
    <w:rsid w:val="00C60809"/>
    <w:rsid w:val="00C60CD4"/>
    <w:rsid w:val="00C610AA"/>
    <w:rsid w:val="00C616FE"/>
    <w:rsid w:val="00C6187A"/>
    <w:rsid w:val="00C618C1"/>
    <w:rsid w:val="00C61B5C"/>
    <w:rsid w:val="00C61C0B"/>
    <w:rsid w:val="00C61DAB"/>
    <w:rsid w:val="00C62342"/>
    <w:rsid w:val="00C631EB"/>
    <w:rsid w:val="00C63A1D"/>
    <w:rsid w:val="00C64456"/>
    <w:rsid w:val="00C6449E"/>
    <w:rsid w:val="00C649AB"/>
    <w:rsid w:val="00C6521B"/>
    <w:rsid w:val="00C6558C"/>
    <w:rsid w:val="00C6619C"/>
    <w:rsid w:val="00C6642A"/>
    <w:rsid w:val="00C664F9"/>
    <w:rsid w:val="00C66764"/>
    <w:rsid w:val="00C667AD"/>
    <w:rsid w:val="00C7042A"/>
    <w:rsid w:val="00C70ACE"/>
    <w:rsid w:val="00C7314C"/>
    <w:rsid w:val="00C73AF3"/>
    <w:rsid w:val="00C75754"/>
    <w:rsid w:val="00C75D52"/>
    <w:rsid w:val="00C75F05"/>
    <w:rsid w:val="00C76082"/>
    <w:rsid w:val="00C77605"/>
    <w:rsid w:val="00C805A1"/>
    <w:rsid w:val="00C80829"/>
    <w:rsid w:val="00C809E6"/>
    <w:rsid w:val="00C81C2F"/>
    <w:rsid w:val="00C81CF4"/>
    <w:rsid w:val="00C837A0"/>
    <w:rsid w:val="00C83E83"/>
    <w:rsid w:val="00C84C14"/>
    <w:rsid w:val="00C84CD1"/>
    <w:rsid w:val="00C862A0"/>
    <w:rsid w:val="00C870FC"/>
    <w:rsid w:val="00C900AF"/>
    <w:rsid w:val="00C903BB"/>
    <w:rsid w:val="00C905E8"/>
    <w:rsid w:val="00C90774"/>
    <w:rsid w:val="00C90B53"/>
    <w:rsid w:val="00C911D5"/>
    <w:rsid w:val="00C91AA2"/>
    <w:rsid w:val="00C91AF8"/>
    <w:rsid w:val="00C92CA1"/>
    <w:rsid w:val="00C93CC0"/>
    <w:rsid w:val="00C944A7"/>
    <w:rsid w:val="00C9585E"/>
    <w:rsid w:val="00C95EA6"/>
    <w:rsid w:val="00C9624D"/>
    <w:rsid w:val="00C975B9"/>
    <w:rsid w:val="00C97FB7"/>
    <w:rsid w:val="00CA0175"/>
    <w:rsid w:val="00CA07E1"/>
    <w:rsid w:val="00CA0FF2"/>
    <w:rsid w:val="00CA10B6"/>
    <w:rsid w:val="00CA1A75"/>
    <w:rsid w:val="00CA1B32"/>
    <w:rsid w:val="00CA1F8F"/>
    <w:rsid w:val="00CA33D4"/>
    <w:rsid w:val="00CA48D3"/>
    <w:rsid w:val="00CA4B71"/>
    <w:rsid w:val="00CA6197"/>
    <w:rsid w:val="00CA7474"/>
    <w:rsid w:val="00CA78E5"/>
    <w:rsid w:val="00CA7F03"/>
    <w:rsid w:val="00CB0443"/>
    <w:rsid w:val="00CB049E"/>
    <w:rsid w:val="00CB0666"/>
    <w:rsid w:val="00CB08E9"/>
    <w:rsid w:val="00CB2C6A"/>
    <w:rsid w:val="00CB2F53"/>
    <w:rsid w:val="00CB2FFD"/>
    <w:rsid w:val="00CB35B4"/>
    <w:rsid w:val="00CB35EF"/>
    <w:rsid w:val="00CB3898"/>
    <w:rsid w:val="00CB3CD5"/>
    <w:rsid w:val="00CB460A"/>
    <w:rsid w:val="00CB4C5E"/>
    <w:rsid w:val="00CB566C"/>
    <w:rsid w:val="00CB5811"/>
    <w:rsid w:val="00CB5861"/>
    <w:rsid w:val="00CB6654"/>
    <w:rsid w:val="00CC09FB"/>
    <w:rsid w:val="00CC0C8F"/>
    <w:rsid w:val="00CC145B"/>
    <w:rsid w:val="00CC1C65"/>
    <w:rsid w:val="00CC25CA"/>
    <w:rsid w:val="00CC2882"/>
    <w:rsid w:val="00CC3849"/>
    <w:rsid w:val="00CC3B30"/>
    <w:rsid w:val="00CC3D5B"/>
    <w:rsid w:val="00CC4DC5"/>
    <w:rsid w:val="00CC5228"/>
    <w:rsid w:val="00CC53E1"/>
    <w:rsid w:val="00CC578D"/>
    <w:rsid w:val="00CC5D68"/>
    <w:rsid w:val="00CC610F"/>
    <w:rsid w:val="00CC67D7"/>
    <w:rsid w:val="00CC7FF2"/>
    <w:rsid w:val="00CD1394"/>
    <w:rsid w:val="00CD14C3"/>
    <w:rsid w:val="00CD1AA9"/>
    <w:rsid w:val="00CD2089"/>
    <w:rsid w:val="00CD2DED"/>
    <w:rsid w:val="00CD32B0"/>
    <w:rsid w:val="00CD477A"/>
    <w:rsid w:val="00CD5192"/>
    <w:rsid w:val="00CD52C8"/>
    <w:rsid w:val="00CD56A0"/>
    <w:rsid w:val="00CD585D"/>
    <w:rsid w:val="00CD5C59"/>
    <w:rsid w:val="00CD6767"/>
    <w:rsid w:val="00CD6F6A"/>
    <w:rsid w:val="00CD75B4"/>
    <w:rsid w:val="00CD764D"/>
    <w:rsid w:val="00CD7AA2"/>
    <w:rsid w:val="00CE00B8"/>
    <w:rsid w:val="00CE0F17"/>
    <w:rsid w:val="00CE1A3E"/>
    <w:rsid w:val="00CE2056"/>
    <w:rsid w:val="00CE36D7"/>
    <w:rsid w:val="00CE5DEA"/>
    <w:rsid w:val="00CE6909"/>
    <w:rsid w:val="00CE7C2D"/>
    <w:rsid w:val="00CF0867"/>
    <w:rsid w:val="00CF0969"/>
    <w:rsid w:val="00CF363A"/>
    <w:rsid w:val="00CF36FB"/>
    <w:rsid w:val="00CF3964"/>
    <w:rsid w:val="00CF4BEF"/>
    <w:rsid w:val="00CF53B5"/>
    <w:rsid w:val="00CF68B0"/>
    <w:rsid w:val="00CF7FD1"/>
    <w:rsid w:val="00D00AD6"/>
    <w:rsid w:val="00D0149C"/>
    <w:rsid w:val="00D01B12"/>
    <w:rsid w:val="00D02404"/>
    <w:rsid w:val="00D0301B"/>
    <w:rsid w:val="00D03B2F"/>
    <w:rsid w:val="00D05AFC"/>
    <w:rsid w:val="00D07638"/>
    <w:rsid w:val="00D10463"/>
    <w:rsid w:val="00D11757"/>
    <w:rsid w:val="00D127B2"/>
    <w:rsid w:val="00D13BAA"/>
    <w:rsid w:val="00D13D5A"/>
    <w:rsid w:val="00D15EE1"/>
    <w:rsid w:val="00D15F25"/>
    <w:rsid w:val="00D1708E"/>
    <w:rsid w:val="00D17BCD"/>
    <w:rsid w:val="00D20B22"/>
    <w:rsid w:val="00D212BA"/>
    <w:rsid w:val="00D217C3"/>
    <w:rsid w:val="00D21DF8"/>
    <w:rsid w:val="00D222B8"/>
    <w:rsid w:val="00D222C9"/>
    <w:rsid w:val="00D23807"/>
    <w:rsid w:val="00D242C7"/>
    <w:rsid w:val="00D2432A"/>
    <w:rsid w:val="00D25499"/>
    <w:rsid w:val="00D2649B"/>
    <w:rsid w:val="00D27566"/>
    <w:rsid w:val="00D27ADF"/>
    <w:rsid w:val="00D30622"/>
    <w:rsid w:val="00D31A12"/>
    <w:rsid w:val="00D331D0"/>
    <w:rsid w:val="00D357A3"/>
    <w:rsid w:val="00D36670"/>
    <w:rsid w:val="00D40228"/>
    <w:rsid w:val="00D410F9"/>
    <w:rsid w:val="00D416A9"/>
    <w:rsid w:val="00D4235F"/>
    <w:rsid w:val="00D42BB8"/>
    <w:rsid w:val="00D42BE2"/>
    <w:rsid w:val="00D42EC6"/>
    <w:rsid w:val="00D43A71"/>
    <w:rsid w:val="00D441CC"/>
    <w:rsid w:val="00D44E23"/>
    <w:rsid w:val="00D45D1F"/>
    <w:rsid w:val="00D461A7"/>
    <w:rsid w:val="00D46265"/>
    <w:rsid w:val="00D5022B"/>
    <w:rsid w:val="00D520AC"/>
    <w:rsid w:val="00D520F2"/>
    <w:rsid w:val="00D527DD"/>
    <w:rsid w:val="00D53A3D"/>
    <w:rsid w:val="00D554A2"/>
    <w:rsid w:val="00D55E27"/>
    <w:rsid w:val="00D56019"/>
    <w:rsid w:val="00D56612"/>
    <w:rsid w:val="00D57C3B"/>
    <w:rsid w:val="00D60CF1"/>
    <w:rsid w:val="00D62904"/>
    <w:rsid w:val="00D63963"/>
    <w:rsid w:val="00D63A5C"/>
    <w:rsid w:val="00D63B87"/>
    <w:rsid w:val="00D63C68"/>
    <w:rsid w:val="00D63D24"/>
    <w:rsid w:val="00D641FE"/>
    <w:rsid w:val="00D65722"/>
    <w:rsid w:val="00D7041D"/>
    <w:rsid w:val="00D70A89"/>
    <w:rsid w:val="00D719B2"/>
    <w:rsid w:val="00D71A18"/>
    <w:rsid w:val="00D71B0A"/>
    <w:rsid w:val="00D7205D"/>
    <w:rsid w:val="00D733B7"/>
    <w:rsid w:val="00D75288"/>
    <w:rsid w:val="00D76CEF"/>
    <w:rsid w:val="00D8090B"/>
    <w:rsid w:val="00D80C90"/>
    <w:rsid w:val="00D81B88"/>
    <w:rsid w:val="00D82DDD"/>
    <w:rsid w:val="00D8354D"/>
    <w:rsid w:val="00D83877"/>
    <w:rsid w:val="00D83CBA"/>
    <w:rsid w:val="00D84F61"/>
    <w:rsid w:val="00D8542A"/>
    <w:rsid w:val="00D866C4"/>
    <w:rsid w:val="00D8744B"/>
    <w:rsid w:val="00D90911"/>
    <w:rsid w:val="00D91A0C"/>
    <w:rsid w:val="00D91B34"/>
    <w:rsid w:val="00D927A9"/>
    <w:rsid w:val="00D92AF7"/>
    <w:rsid w:val="00D92FD0"/>
    <w:rsid w:val="00D92FDA"/>
    <w:rsid w:val="00D9309B"/>
    <w:rsid w:val="00D94824"/>
    <w:rsid w:val="00D9505D"/>
    <w:rsid w:val="00D954E8"/>
    <w:rsid w:val="00D95502"/>
    <w:rsid w:val="00D95F01"/>
    <w:rsid w:val="00D971BB"/>
    <w:rsid w:val="00D97604"/>
    <w:rsid w:val="00D97F11"/>
    <w:rsid w:val="00DA04AF"/>
    <w:rsid w:val="00DA05FB"/>
    <w:rsid w:val="00DA067D"/>
    <w:rsid w:val="00DA0E68"/>
    <w:rsid w:val="00DA12E6"/>
    <w:rsid w:val="00DA13DF"/>
    <w:rsid w:val="00DA2369"/>
    <w:rsid w:val="00DA2DD1"/>
    <w:rsid w:val="00DA3259"/>
    <w:rsid w:val="00DA4E0E"/>
    <w:rsid w:val="00DA5573"/>
    <w:rsid w:val="00DA69F3"/>
    <w:rsid w:val="00DA75D1"/>
    <w:rsid w:val="00DA7CAB"/>
    <w:rsid w:val="00DB0A95"/>
    <w:rsid w:val="00DB0F5C"/>
    <w:rsid w:val="00DB1439"/>
    <w:rsid w:val="00DB21A1"/>
    <w:rsid w:val="00DB297A"/>
    <w:rsid w:val="00DB2B52"/>
    <w:rsid w:val="00DB46D4"/>
    <w:rsid w:val="00DB49A9"/>
    <w:rsid w:val="00DB5BF2"/>
    <w:rsid w:val="00DB6E17"/>
    <w:rsid w:val="00DB75B2"/>
    <w:rsid w:val="00DB7C35"/>
    <w:rsid w:val="00DB7CEC"/>
    <w:rsid w:val="00DC0162"/>
    <w:rsid w:val="00DC0885"/>
    <w:rsid w:val="00DC0C7C"/>
    <w:rsid w:val="00DC14F7"/>
    <w:rsid w:val="00DC23FE"/>
    <w:rsid w:val="00DC2AF8"/>
    <w:rsid w:val="00DC5503"/>
    <w:rsid w:val="00DC5E02"/>
    <w:rsid w:val="00DC70DA"/>
    <w:rsid w:val="00DC791B"/>
    <w:rsid w:val="00DD0F39"/>
    <w:rsid w:val="00DD189F"/>
    <w:rsid w:val="00DD25FE"/>
    <w:rsid w:val="00DD3148"/>
    <w:rsid w:val="00DD3B0A"/>
    <w:rsid w:val="00DD3E75"/>
    <w:rsid w:val="00DD3FC7"/>
    <w:rsid w:val="00DD407A"/>
    <w:rsid w:val="00DD416D"/>
    <w:rsid w:val="00DD42AB"/>
    <w:rsid w:val="00DD4550"/>
    <w:rsid w:val="00DD4997"/>
    <w:rsid w:val="00DD4B4A"/>
    <w:rsid w:val="00DD4C84"/>
    <w:rsid w:val="00DD4E74"/>
    <w:rsid w:val="00DD541D"/>
    <w:rsid w:val="00DD712B"/>
    <w:rsid w:val="00DE0608"/>
    <w:rsid w:val="00DE096C"/>
    <w:rsid w:val="00DE0B80"/>
    <w:rsid w:val="00DE1076"/>
    <w:rsid w:val="00DE161B"/>
    <w:rsid w:val="00DE1984"/>
    <w:rsid w:val="00DE2070"/>
    <w:rsid w:val="00DE20BF"/>
    <w:rsid w:val="00DE3AC9"/>
    <w:rsid w:val="00DE407E"/>
    <w:rsid w:val="00DE5448"/>
    <w:rsid w:val="00DE5D96"/>
    <w:rsid w:val="00DE660C"/>
    <w:rsid w:val="00DE69A0"/>
    <w:rsid w:val="00DE7A55"/>
    <w:rsid w:val="00DE7AAD"/>
    <w:rsid w:val="00DF0429"/>
    <w:rsid w:val="00DF0CA6"/>
    <w:rsid w:val="00DF116B"/>
    <w:rsid w:val="00DF1F02"/>
    <w:rsid w:val="00DF208D"/>
    <w:rsid w:val="00DF3078"/>
    <w:rsid w:val="00DF513D"/>
    <w:rsid w:val="00DF62FD"/>
    <w:rsid w:val="00DF693B"/>
    <w:rsid w:val="00DF6CE3"/>
    <w:rsid w:val="00DF7BA0"/>
    <w:rsid w:val="00DF7D9E"/>
    <w:rsid w:val="00DF7F7E"/>
    <w:rsid w:val="00E001BF"/>
    <w:rsid w:val="00E00E22"/>
    <w:rsid w:val="00E04F89"/>
    <w:rsid w:val="00E051C8"/>
    <w:rsid w:val="00E05BE2"/>
    <w:rsid w:val="00E0687E"/>
    <w:rsid w:val="00E06AC6"/>
    <w:rsid w:val="00E06D21"/>
    <w:rsid w:val="00E073AE"/>
    <w:rsid w:val="00E0742D"/>
    <w:rsid w:val="00E07667"/>
    <w:rsid w:val="00E076D3"/>
    <w:rsid w:val="00E106CB"/>
    <w:rsid w:val="00E10DEA"/>
    <w:rsid w:val="00E10F1C"/>
    <w:rsid w:val="00E1174A"/>
    <w:rsid w:val="00E1222E"/>
    <w:rsid w:val="00E131CC"/>
    <w:rsid w:val="00E136A4"/>
    <w:rsid w:val="00E14534"/>
    <w:rsid w:val="00E15237"/>
    <w:rsid w:val="00E15958"/>
    <w:rsid w:val="00E15DE5"/>
    <w:rsid w:val="00E15E35"/>
    <w:rsid w:val="00E1669D"/>
    <w:rsid w:val="00E16E5D"/>
    <w:rsid w:val="00E16E6F"/>
    <w:rsid w:val="00E16F46"/>
    <w:rsid w:val="00E17043"/>
    <w:rsid w:val="00E17349"/>
    <w:rsid w:val="00E20043"/>
    <w:rsid w:val="00E2053B"/>
    <w:rsid w:val="00E20B36"/>
    <w:rsid w:val="00E20EC2"/>
    <w:rsid w:val="00E21032"/>
    <w:rsid w:val="00E2154F"/>
    <w:rsid w:val="00E22AD6"/>
    <w:rsid w:val="00E22FCB"/>
    <w:rsid w:val="00E2305E"/>
    <w:rsid w:val="00E2324A"/>
    <w:rsid w:val="00E23A3A"/>
    <w:rsid w:val="00E24214"/>
    <w:rsid w:val="00E247FC"/>
    <w:rsid w:val="00E24B13"/>
    <w:rsid w:val="00E24DD7"/>
    <w:rsid w:val="00E26AB7"/>
    <w:rsid w:val="00E27125"/>
    <w:rsid w:val="00E3019B"/>
    <w:rsid w:val="00E317BE"/>
    <w:rsid w:val="00E31E0A"/>
    <w:rsid w:val="00E32879"/>
    <w:rsid w:val="00E3299A"/>
    <w:rsid w:val="00E33023"/>
    <w:rsid w:val="00E3314D"/>
    <w:rsid w:val="00E33B63"/>
    <w:rsid w:val="00E346ED"/>
    <w:rsid w:val="00E35068"/>
    <w:rsid w:val="00E35DE4"/>
    <w:rsid w:val="00E35FB3"/>
    <w:rsid w:val="00E361CF"/>
    <w:rsid w:val="00E36B50"/>
    <w:rsid w:val="00E37366"/>
    <w:rsid w:val="00E3789B"/>
    <w:rsid w:val="00E37E23"/>
    <w:rsid w:val="00E4013B"/>
    <w:rsid w:val="00E409A2"/>
    <w:rsid w:val="00E419FD"/>
    <w:rsid w:val="00E41E54"/>
    <w:rsid w:val="00E41F6D"/>
    <w:rsid w:val="00E4200A"/>
    <w:rsid w:val="00E42414"/>
    <w:rsid w:val="00E42F29"/>
    <w:rsid w:val="00E4320B"/>
    <w:rsid w:val="00E4385A"/>
    <w:rsid w:val="00E44453"/>
    <w:rsid w:val="00E4481F"/>
    <w:rsid w:val="00E44DB2"/>
    <w:rsid w:val="00E45235"/>
    <w:rsid w:val="00E45489"/>
    <w:rsid w:val="00E4576B"/>
    <w:rsid w:val="00E45868"/>
    <w:rsid w:val="00E45F47"/>
    <w:rsid w:val="00E50D5A"/>
    <w:rsid w:val="00E50DF8"/>
    <w:rsid w:val="00E513A5"/>
    <w:rsid w:val="00E513C3"/>
    <w:rsid w:val="00E51606"/>
    <w:rsid w:val="00E5186D"/>
    <w:rsid w:val="00E51FEC"/>
    <w:rsid w:val="00E52499"/>
    <w:rsid w:val="00E5313A"/>
    <w:rsid w:val="00E54795"/>
    <w:rsid w:val="00E54AD4"/>
    <w:rsid w:val="00E54E45"/>
    <w:rsid w:val="00E55DB9"/>
    <w:rsid w:val="00E5687A"/>
    <w:rsid w:val="00E568B5"/>
    <w:rsid w:val="00E575F9"/>
    <w:rsid w:val="00E57E0A"/>
    <w:rsid w:val="00E57F56"/>
    <w:rsid w:val="00E6179B"/>
    <w:rsid w:val="00E62746"/>
    <w:rsid w:val="00E63B98"/>
    <w:rsid w:val="00E66E22"/>
    <w:rsid w:val="00E70139"/>
    <w:rsid w:val="00E70284"/>
    <w:rsid w:val="00E70B51"/>
    <w:rsid w:val="00E7115B"/>
    <w:rsid w:val="00E712F4"/>
    <w:rsid w:val="00E714F2"/>
    <w:rsid w:val="00E71F84"/>
    <w:rsid w:val="00E722CB"/>
    <w:rsid w:val="00E724A6"/>
    <w:rsid w:val="00E72961"/>
    <w:rsid w:val="00E731C5"/>
    <w:rsid w:val="00E7478E"/>
    <w:rsid w:val="00E759A7"/>
    <w:rsid w:val="00E76656"/>
    <w:rsid w:val="00E7682F"/>
    <w:rsid w:val="00E76F33"/>
    <w:rsid w:val="00E77A49"/>
    <w:rsid w:val="00E77A75"/>
    <w:rsid w:val="00E77E2B"/>
    <w:rsid w:val="00E8067D"/>
    <w:rsid w:val="00E81F3D"/>
    <w:rsid w:val="00E81FCA"/>
    <w:rsid w:val="00E8225A"/>
    <w:rsid w:val="00E8386B"/>
    <w:rsid w:val="00E83DF3"/>
    <w:rsid w:val="00E84471"/>
    <w:rsid w:val="00E84AD8"/>
    <w:rsid w:val="00E85461"/>
    <w:rsid w:val="00E86AE4"/>
    <w:rsid w:val="00E873F4"/>
    <w:rsid w:val="00E92F05"/>
    <w:rsid w:val="00E931E9"/>
    <w:rsid w:val="00E941F9"/>
    <w:rsid w:val="00E945B7"/>
    <w:rsid w:val="00E94A3B"/>
    <w:rsid w:val="00E971FA"/>
    <w:rsid w:val="00E9725D"/>
    <w:rsid w:val="00E97A77"/>
    <w:rsid w:val="00EA04C5"/>
    <w:rsid w:val="00EA117C"/>
    <w:rsid w:val="00EA22BD"/>
    <w:rsid w:val="00EA28A7"/>
    <w:rsid w:val="00EA39BC"/>
    <w:rsid w:val="00EA4007"/>
    <w:rsid w:val="00EA4C2B"/>
    <w:rsid w:val="00EA4ED5"/>
    <w:rsid w:val="00EA51BA"/>
    <w:rsid w:val="00EA5624"/>
    <w:rsid w:val="00EA5629"/>
    <w:rsid w:val="00EA5E60"/>
    <w:rsid w:val="00EA61E5"/>
    <w:rsid w:val="00EA68FD"/>
    <w:rsid w:val="00EA6F2F"/>
    <w:rsid w:val="00EA7D2E"/>
    <w:rsid w:val="00EB02F9"/>
    <w:rsid w:val="00EB1195"/>
    <w:rsid w:val="00EB1B23"/>
    <w:rsid w:val="00EB2B78"/>
    <w:rsid w:val="00EB3262"/>
    <w:rsid w:val="00EB386B"/>
    <w:rsid w:val="00EB42C3"/>
    <w:rsid w:val="00EB4A66"/>
    <w:rsid w:val="00EB4EC4"/>
    <w:rsid w:val="00EB5942"/>
    <w:rsid w:val="00EB6514"/>
    <w:rsid w:val="00EB68DE"/>
    <w:rsid w:val="00EB6D4C"/>
    <w:rsid w:val="00EC1E78"/>
    <w:rsid w:val="00EC2208"/>
    <w:rsid w:val="00EC4F33"/>
    <w:rsid w:val="00EC5450"/>
    <w:rsid w:val="00EC56A0"/>
    <w:rsid w:val="00EC5E42"/>
    <w:rsid w:val="00EC612D"/>
    <w:rsid w:val="00EC62D9"/>
    <w:rsid w:val="00EC6831"/>
    <w:rsid w:val="00EC6F9F"/>
    <w:rsid w:val="00EC7023"/>
    <w:rsid w:val="00EC735D"/>
    <w:rsid w:val="00EC7CE2"/>
    <w:rsid w:val="00ED0A44"/>
    <w:rsid w:val="00ED0A7F"/>
    <w:rsid w:val="00ED148D"/>
    <w:rsid w:val="00ED1E00"/>
    <w:rsid w:val="00ED2708"/>
    <w:rsid w:val="00ED31DF"/>
    <w:rsid w:val="00ED3C65"/>
    <w:rsid w:val="00ED467C"/>
    <w:rsid w:val="00ED5F29"/>
    <w:rsid w:val="00EE071C"/>
    <w:rsid w:val="00EE089A"/>
    <w:rsid w:val="00EE094D"/>
    <w:rsid w:val="00EE0C8D"/>
    <w:rsid w:val="00EE0CCA"/>
    <w:rsid w:val="00EE0CDD"/>
    <w:rsid w:val="00EE0FFC"/>
    <w:rsid w:val="00EE1324"/>
    <w:rsid w:val="00EE23F5"/>
    <w:rsid w:val="00EE2554"/>
    <w:rsid w:val="00EE2FAF"/>
    <w:rsid w:val="00EE3DD7"/>
    <w:rsid w:val="00EE4291"/>
    <w:rsid w:val="00EE43AD"/>
    <w:rsid w:val="00EE48FC"/>
    <w:rsid w:val="00EE49DE"/>
    <w:rsid w:val="00EE5840"/>
    <w:rsid w:val="00EE63D1"/>
    <w:rsid w:val="00EE657A"/>
    <w:rsid w:val="00EE72CD"/>
    <w:rsid w:val="00EF11DC"/>
    <w:rsid w:val="00EF1635"/>
    <w:rsid w:val="00EF19E1"/>
    <w:rsid w:val="00EF3CCA"/>
    <w:rsid w:val="00EF5419"/>
    <w:rsid w:val="00EF5C8B"/>
    <w:rsid w:val="00EF65E8"/>
    <w:rsid w:val="00EF668D"/>
    <w:rsid w:val="00EF74B8"/>
    <w:rsid w:val="00F003F2"/>
    <w:rsid w:val="00F007A8"/>
    <w:rsid w:val="00F009BC"/>
    <w:rsid w:val="00F00AA4"/>
    <w:rsid w:val="00F00B6C"/>
    <w:rsid w:val="00F015F3"/>
    <w:rsid w:val="00F021D3"/>
    <w:rsid w:val="00F0228C"/>
    <w:rsid w:val="00F0341C"/>
    <w:rsid w:val="00F03C5F"/>
    <w:rsid w:val="00F03C9C"/>
    <w:rsid w:val="00F046DE"/>
    <w:rsid w:val="00F0475D"/>
    <w:rsid w:val="00F051DB"/>
    <w:rsid w:val="00F06EB6"/>
    <w:rsid w:val="00F10EE8"/>
    <w:rsid w:val="00F112FB"/>
    <w:rsid w:val="00F129E5"/>
    <w:rsid w:val="00F12D00"/>
    <w:rsid w:val="00F12F5B"/>
    <w:rsid w:val="00F13443"/>
    <w:rsid w:val="00F1346E"/>
    <w:rsid w:val="00F136C0"/>
    <w:rsid w:val="00F13833"/>
    <w:rsid w:val="00F141F4"/>
    <w:rsid w:val="00F150EB"/>
    <w:rsid w:val="00F156C0"/>
    <w:rsid w:val="00F167B4"/>
    <w:rsid w:val="00F17055"/>
    <w:rsid w:val="00F20ACE"/>
    <w:rsid w:val="00F20B1B"/>
    <w:rsid w:val="00F20D32"/>
    <w:rsid w:val="00F21297"/>
    <w:rsid w:val="00F23299"/>
    <w:rsid w:val="00F23984"/>
    <w:rsid w:val="00F23A00"/>
    <w:rsid w:val="00F24BB4"/>
    <w:rsid w:val="00F24F29"/>
    <w:rsid w:val="00F2504F"/>
    <w:rsid w:val="00F255E8"/>
    <w:rsid w:val="00F266E2"/>
    <w:rsid w:val="00F26E4C"/>
    <w:rsid w:val="00F2762D"/>
    <w:rsid w:val="00F30522"/>
    <w:rsid w:val="00F305C4"/>
    <w:rsid w:val="00F30C47"/>
    <w:rsid w:val="00F312EF"/>
    <w:rsid w:val="00F32A1B"/>
    <w:rsid w:val="00F33172"/>
    <w:rsid w:val="00F33375"/>
    <w:rsid w:val="00F33D01"/>
    <w:rsid w:val="00F33D36"/>
    <w:rsid w:val="00F34AF5"/>
    <w:rsid w:val="00F35E80"/>
    <w:rsid w:val="00F369C7"/>
    <w:rsid w:val="00F36F92"/>
    <w:rsid w:val="00F403D0"/>
    <w:rsid w:val="00F4068E"/>
    <w:rsid w:val="00F40E08"/>
    <w:rsid w:val="00F42B3C"/>
    <w:rsid w:val="00F42F75"/>
    <w:rsid w:val="00F43B34"/>
    <w:rsid w:val="00F447D5"/>
    <w:rsid w:val="00F45096"/>
    <w:rsid w:val="00F45572"/>
    <w:rsid w:val="00F4598E"/>
    <w:rsid w:val="00F45A2B"/>
    <w:rsid w:val="00F45B33"/>
    <w:rsid w:val="00F4656B"/>
    <w:rsid w:val="00F4721B"/>
    <w:rsid w:val="00F503E2"/>
    <w:rsid w:val="00F5050E"/>
    <w:rsid w:val="00F50D94"/>
    <w:rsid w:val="00F51183"/>
    <w:rsid w:val="00F51802"/>
    <w:rsid w:val="00F51C8D"/>
    <w:rsid w:val="00F52FA1"/>
    <w:rsid w:val="00F53DD3"/>
    <w:rsid w:val="00F5421E"/>
    <w:rsid w:val="00F54749"/>
    <w:rsid w:val="00F55B8A"/>
    <w:rsid w:val="00F56A43"/>
    <w:rsid w:val="00F56C35"/>
    <w:rsid w:val="00F5736E"/>
    <w:rsid w:val="00F57E27"/>
    <w:rsid w:val="00F60273"/>
    <w:rsid w:val="00F6086D"/>
    <w:rsid w:val="00F611EF"/>
    <w:rsid w:val="00F63684"/>
    <w:rsid w:val="00F63947"/>
    <w:rsid w:val="00F6394B"/>
    <w:rsid w:val="00F64C10"/>
    <w:rsid w:val="00F6521D"/>
    <w:rsid w:val="00F65398"/>
    <w:rsid w:val="00F67C64"/>
    <w:rsid w:val="00F7057F"/>
    <w:rsid w:val="00F70697"/>
    <w:rsid w:val="00F71113"/>
    <w:rsid w:val="00F71195"/>
    <w:rsid w:val="00F713E7"/>
    <w:rsid w:val="00F71C1A"/>
    <w:rsid w:val="00F722D7"/>
    <w:rsid w:val="00F725D2"/>
    <w:rsid w:val="00F73CED"/>
    <w:rsid w:val="00F74295"/>
    <w:rsid w:val="00F7436B"/>
    <w:rsid w:val="00F749A8"/>
    <w:rsid w:val="00F74B25"/>
    <w:rsid w:val="00F77123"/>
    <w:rsid w:val="00F77FCA"/>
    <w:rsid w:val="00F80BBC"/>
    <w:rsid w:val="00F81638"/>
    <w:rsid w:val="00F82070"/>
    <w:rsid w:val="00F82230"/>
    <w:rsid w:val="00F82E40"/>
    <w:rsid w:val="00F834D4"/>
    <w:rsid w:val="00F84078"/>
    <w:rsid w:val="00F84320"/>
    <w:rsid w:val="00F8492E"/>
    <w:rsid w:val="00F84B83"/>
    <w:rsid w:val="00F86A4A"/>
    <w:rsid w:val="00F86B09"/>
    <w:rsid w:val="00F86DC4"/>
    <w:rsid w:val="00F86F96"/>
    <w:rsid w:val="00F872A7"/>
    <w:rsid w:val="00F874A8"/>
    <w:rsid w:val="00F87705"/>
    <w:rsid w:val="00F87983"/>
    <w:rsid w:val="00F87D1B"/>
    <w:rsid w:val="00F914D4"/>
    <w:rsid w:val="00F91AB7"/>
    <w:rsid w:val="00F91C84"/>
    <w:rsid w:val="00F9205A"/>
    <w:rsid w:val="00F9417B"/>
    <w:rsid w:val="00F94CF6"/>
    <w:rsid w:val="00F9583B"/>
    <w:rsid w:val="00F966ED"/>
    <w:rsid w:val="00F96FFB"/>
    <w:rsid w:val="00FA0551"/>
    <w:rsid w:val="00FA0E89"/>
    <w:rsid w:val="00FA1880"/>
    <w:rsid w:val="00FA29CE"/>
    <w:rsid w:val="00FA2DBC"/>
    <w:rsid w:val="00FA3316"/>
    <w:rsid w:val="00FA343E"/>
    <w:rsid w:val="00FA3484"/>
    <w:rsid w:val="00FA3A25"/>
    <w:rsid w:val="00FA3C2C"/>
    <w:rsid w:val="00FA4278"/>
    <w:rsid w:val="00FA4882"/>
    <w:rsid w:val="00FA6C3B"/>
    <w:rsid w:val="00FA72B0"/>
    <w:rsid w:val="00FB00B6"/>
    <w:rsid w:val="00FB0681"/>
    <w:rsid w:val="00FB0B78"/>
    <w:rsid w:val="00FB0C4B"/>
    <w:rsid w:val="00FB0D80"/>
    <w:rsid w:val="00FB20AE"/>
    <w:rsid w:val="00FB21FA"/>
    <w:rsid w:val="00FB2B07"/>
    <w:rsid w:val="00FB39D4"/>
    <w:rsid w:val="00FB3C7B"/>
    <w:rsid w:val="00FB4621"/>
    <w:rsid w:val="00FB484B"/>
    <w:rsid w:val="00FB502A"/>
    <w:rsid w:val="00FB50E1"/>
    <w:rsid w:val="00FB76B8"/>
    <w:rsid w:val="00FB7BB4"/>
    <w:rsid w:val="00FC02D6"/>
    <w:rsid w:val="00FC0BDF"/>
    <w:rsid w:val="00FC187B"/>
    <w:rsid w:val="00FC2582"/>
    <w:rsid w:val="00FC25F6"/>
    <w:rsid w:val="00FC2B12"/>
    <w:rsid w:val="00FC31AC"/>
    <w:rsid w:val="00FC34C7"/>
    <w:rsid w:val="00FC3E08"/>
    <w:rsid w:val="00FC42FA"/>
    <w:rsid w:val="00FC5349"/>
    <w:rsid w:val="00FC57E1"/>
    <w:rsid w:val="00FC6015"/>
    <w:rsid w:val="00FC6F87"/>
    <w:rsid w:val="00FD064C"/>
    <w:rsid w:val="00FD1896"/>
    <w:rsid w:val="00FD36D3"/>
    <w:rsid w:val="00FD3B35"/>
    <w:rsid w:val="00FD4168"/>
    <w:rsid w:val="00FD4263"/>
    <w:rsid w:val="00FD46F1"/>
    <w:rsid w:val="00FD4A44"/>
    <w:rsid w:val="00FD563C"/>
    <w:rsid w:val="00FD5FFE"/>
    <w:rsid w:val="00FD6D39"/>
    <w:rsid w:val="00FE0390"/>
    <w:rsid w:val="00FE1737"/>
    <w:rsid w:val="00FE2C44"/>
    <w:rsid w:val="00FE2DCC"/>
    <w:rsid w:val="00FE2E72"/>
    <w:rsid w:val="00FE2F44"/>
    <w:rsid w:val="00FE30DB"/>
    <w:rsid w:val="00FE3B01"/>
    <w:rsid w:val="00FE42C0"/>
    <w:rsid w:val="00FE4B16"/>
    <w:rsid w:val="00FE53DB"/>
    <w:rsid w:val="00FE5960"/>
    <w:rsid w:val="00FE5A90"/>
    <w:rsid w:val="00FE5AB0"/>
    <w:rsid w:val="00FE6ADB"/>
    <w:rsid w:val="00FE7A98"/>
    <w:rsid w:val="00FF00CA"/>
    <w:rsid w:val="00FF1878"/>
    <w:rsid w:val="00FF1A21"/>
    <w:rsid w:val="00FF1C5E"/>
    <w:rsid w:val="00FF2E3F"/>
    <w:rsid w:val="00FF2F33"/>
    <w:rsid w:val="00FF3079"/>
    <w:rsid w:val="00FF338D"/>
    <w:rsid w:val="00FF4250"/>
    <w:rsid w:val="00FF46C9"/>
    <w:rsid w:val="00FF4803"/>
    <w:rsid w:val="00FF4953"/>
    <w:rsid w:val="00FF4E25"/>
    <w:rsid w:val="00FF57C0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0A9CA"/>
  <w15:docId w15:val="{78051111-B426-4DBB-A0D4-C1CCD2F6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CC0"/>
    <w:rPr>
      <w:sz w:val="24"/>
      <w:szCs w:val="24"/>
    </w:rPr>
  </w:style>
  <w:style w:type="paragraph" w:styleId="Heading1">
    <w:name w:val="heading 1"/>
    <w:basedOn w:val="Normal"/>
    <w:next w:val="Normal"/>
    <w:qFormat/>
    <w:rsid w:val="009161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161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2F6D"/>
    <w:rPr>
      <w:color w:val="0000FF"/>
      <w:u w:val="single"/>
    </w:rPr>
  </w:style>
  <w:style w:type="paragraph" w:styleId="BalloonText">
    <w:name w:val="Balloon Text"/>
    <w:basedOn w:val="Normal"/>
    <w:semiHidden/>
    <w:rsid w:val="00E23A3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161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9161AE"/>
    <w:pPr>
      <w:spacing w:after="120"/>
    </w:pPr>
  </w:style>
  <w:style w:type="paragraph" w:styleId="Subtitle">
    <w:name w:val="Subtitle"/>
    <w:basedOn w:val="Normal"/>
    <w:qFormat/>
    <w:rsid w:val="009161AE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yline">
    <w:name w:val="Byline"/>
    <w:basedOn w:val="BodyText"/>
    <w:rsid w:val="009161AE"/>
  </w:style>
  <w:style w:type="character" w:styleId="CommentReference">
    <w:name w:val="annotation reference"/>
    <w:rsid w:val="000B6C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6C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6C8E"/>
  </w:style>
  <w:style w:type="paragraph" w:styleId="CommentSubject">
    <w:name w:val="annotation subject"/>
    <w:basedOn w:val="CommentText"/>
    <w:next w:val="CommentText"/>
    <w:link w:val="CommentSubjectChar"/>
    <w:rsid w:val="000B6C8E"/>
    <w:rPr>
      <w:b/>
      <w:bCs/>
    </w:rPr>
  </w:style>
  <w:style w:type="character" w:customStyle="1" w:styleId="CommentSubjectChar">
    <w:name w:val="Comment Subject Char"/>
    <w:link w:val="CommentSubject"/>
    <w:rsid w:val="000B6C8E"/>
    <w:rPr>
      <w:b/>
      <w:bCs/>
    </w:rPr>
  </w:style>
  <w:style w:type="character" w:customStyle="1" w:styleId="ICBAbold">
    <w:name w:val="ICBA bold"/>
    <w:rsid w:val="008C048D"/>
    <w:rPr>
      <w:b/>
    </w:rPr>
  </w:style>
  <w:style w:type="character" w:customStyle="1" w:styleId="ICBAital">
    <w:name w:val="ICBA ital"/>
    <w:rsid w:val="008C048D"/>
    <w:rPr>
      <w:i/>
    </w:rPr>
  </w:style>
  <w:style w:type="character" w:customStyle="1" w:styleId="ICBAhyperlinks">
    <w:name w:val="ICBA hyperlinks"/>
    <w:rsid w:val="008C048D"/>
    <w:rPr>
      <w:b/>
      <w:i/>
    </w:rPr>
  </w:style>
  <w:style w:type="character" w:customStyle="1" w:styleId="icbabold0">
    <w:name w:val="icbabold"/>
    <w:rsid w:val="00675A4E"/>
    <w:rPr>
      <w:b/>
      <w:bCs/>
    </w:rPr>
  </w:style>
  <w:style w:type="character" w:customStyle="1" w:styleId="BodyTextChar">
    <w:name w:val="Body Text Char"/>
    <w:link w:val="BodyText"/>
    <w:rsid w:val="008C048D"/>
    <w:rPr>
      <w:sz w:val="24"/>
      <w:szCs w:val="24"/>
    </w:rPr>
  </w:style>
  <w:style w:type="paragraph" w:customStyle="1" w:styleId="DarkList-Accent31">
    <w:name w:val="Dark List - Accent 31"/>
    <w:hidden/>
    <w:uiPriority w:val="99"/>
    <w:semiHidden/>
    <w:rsid w:val="003140CE"/>
    <w:rPr>
      <w:sz w:val="24"/>
      <w:szCs w:val="24"/>
    </w:rPr>
  </w:style>
  <w:style w:type="paragraph" w:customStyle="1" w:styleId="LightList-Accent31">
    <w:name w:val="Light List - Accent 31"/>
    <w:hidden/>
    <w:uiPriority w:val="71"/>
    <w:rsid w:val="007773DD"/>
    <w:rPr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C42E05"/>
    <w:rPr>
      <w:sz w:val="24"/>
      <w:szCs w:val="24"/>
    </w:rPr>
  </w:style>
  <w:style w:type="paragraph" w:customStyle="1" w:styleId="ColorfulShading-Accent11">
    <w:name w:val="Colorful Shading - Accent 11"/>
    <w:hidden/>
    <w:uiPriority w:val="71"/>
    <w:rsid w:val="007E455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2230"/>
    <w:pPr>
      <w:ind w:left="720"/>
      <w:contextualSpacing/>
    </w:pPr>
  </w:style>
  <w:style w:type="paragraph" w:styleId="Revision">
    <w:name w:val="Revision"/>
    <w:hidden/>
    <w:uiPriority w:val="99"/>
    <w:semiHidden/>
    <w:rsid w:val="00A42015"/>
    <w:rPr>
      <w:sz w:val="24"/>
      <w:szCs w:val="24"/>
    </w:rPr>
  </w:style>
  <w:style w:type="character" w:customStyle="1" w:styleId="emailaddress">
    <w:name w:val="emailaddress"/>
    <w:basedOn w:val="DefaultParagraphFont"/>
    <w:rsid w:val="004B5849"/>
  </w:style>
  <w:style w:type="character" w:styleId="FollowedHyperlink">
    <w:name w:val="FollowedHyperlink"/>
    <w:basedOn w:val="DefaultParagraphFont"/>
    <w:semiHidden/>
    <w:unhideWhenUsed/>
    <w:rsid w:val="001D46E3"/>
    <w:rPr>
      <w:color w:val="800080" w:themeColor="followedHyperlink"/>
      <w:u w:val="single"/>
    </w:rPr>
  </w:style>
  <w:style w:type="table" w:styleId="TableGrid">
    <w:name w:val="Table Grid"/>
    <w:basedOn w:val="TableNormal"/>
    <w:rsid w:val="00A23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7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reber@icbasecuriti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61E87-AEA5-4717-BBBD-3753844E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Beware Falling Rates:  Will Margin Compression Accompany Lower Rates</vt:lpstr>
    </vt:vector>
  </TitlesOfParts>
  <Company>Vining Sparks</Company>
  <LinksUpToDate>false</LinksUpToDate>
  <CharactersWithSpaces>5691</CharactersWithSpaces>
  <SharedDoc>false</SharedDoc>
  <HLinks>
    <vt:vector size="6" baseType="variant">
      <vt:variant>
        <vt:i4>3997759</vt:i4>
      </vt:variant>
      <vt:variant>
        <vt:i4>0</vt:i4>
      </vt:variant>
      <vt:variant>
        <vt:i4>0</vt:i4>
      </vt:variant>
      <vt:variant>
        <vt:i4>5</vt:i4>
      </vt:variant>
      <vt:variant>
        <vt:lpwstr>http://www.icbasecurities.com/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Beware Falling Rates:  Will Margin Compression Accompany Lower Rates</dc:title>
  <dc:creator>Reber, Jim - ICBA Securities</dc:creator>
  <cp:lastModifiedBy>Tiffany Lukk</cp:lastModifiedBy>
  <cp:revision>3</cp:revision>
  <cp:lastPrinted>2022-10-07T17:29:00Z</cp:lastPrinted>
  <dcterms:created xsi:type="dcterms:W3CDTF">2022-10-19T19:54:00Z</dcterms:created>
  <dcterms:modified xsi:type="dcterms:W3CDTF">2022-10-19T19:59:00Z</dcterms:modified>
</cp:coreProperties>
</file>