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83104C">
      <w:pPr>
        <w:tabs>
          <w:tab w:val="left" w:pos="540"/>
          <w:tab w:val="left" w:pos="2550"/>
        </w:tabs>
        <w:spacing w:after="240" w:line="276" w:lineRule="auto"/>
        <w:rPr>
          <w:rStyle w:val="ICBAbold"/>
        </w:rPr>
      </w:pPr>
      <w:bookmarkStart w:id="0" w:name="_Hlk66104766"/>
      <w:r w:rsidRPr="003D49D5">
        <w:rPr>
          <w:rStyle w:val="ICBAbold"/>
        </w:rPr>
        <w:t>Independent Banker</w:t>
      </w:r>
    </w:p>
    <w:p w14:paraId="3AD95FF8" w14:textId="11260135" w:rsidR="00296592" w:rsidRPr="003D49D5" w:rsidRDefault="00C478D8" w:rsidP="0083104C">
      <w:pPr>
        <w:tabs>
          <w:tab w:val="left" w:pos="540"/>
          <w:tab w:val="left" w:pos="2550"/>
        </w:tabs>
        <w:spacing w:after="240" w:line="276" w:lineRule="auto"/>
        <w:rPr>
          <w:rStyle w:val="ICBAbold"/>
        </w:rPr>
      </w:pPr>
      <w:r>
        <w:rPr>
          <w:rStyle w:val="ICBAbold"/>
        </w:rPr>
        <w:t>April</w:t>
      </w:r>
      <w:r w:rsidR="0069006D">
        <w:rPr>
          <w:rStyle w:val="ICBAbold"/>
        </w:rPr>
        <w:t xml:space="preserve"> 2023</w:t>
      </w:r>
    </w:p>
    <w:p w14:paraId="2FAFA8F6" w14:textId="3C6B592E" w:rsidR="00F86B09" w:rsidRDefault="00296592" w:rsidP="0083104C">
      <w:pPr>
        <w:tabs>
          <w:tab w:val="left" w:pos="540"/>
          <w:tab w:val="left" w:pos="2550"/>
        </w:tabs>
        <w:spacing w:after="240" w:line="276" w:lineRule="auto"/>
        <w:rPr>
          <w:rStyle w:val="ICBAbold"/>
          <w:bCs/>
        </w:rPr>
      </w:pPr>
      <w:r w:rsidRPr="003D49D5">
        <w:rPr>
          <w:rStyle w:val="ICBAbold"/>
          <w:bCs/>
        </w:rPr>
        <w:t>Portfolio</w:t>
      </w:r>
      <w:r w:rsidR="00536105" w:rsidRPr="003D49D5">
        <w:rPr>
          <w:rStyle w:val="ICBAbold"/>
          <w:bCs/>
        </w:rPr>
        <w:t xml:space="preserve"> </w:t>
      </w:r>
    </w:p>
    <w:p w14:paraId="2B8AF5A7" w14:textId="0AB427E6" w:rsidR="004C4F00" w:rsidRPr="0083104C" w:rsidRDefault="00F86B09" w:rsidP="0083104C">
      <w:pPr>
        <w:tabs>
          <w:tab w:val="left" w:pos="540"/>
          <w:tab w:val="left" w:pos="2550"/>
        </w:tabs>
        <w:spacing w:after="240" w:line="276"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4EAFA45" w14:textId="28EBD70B" w:rsidR="009C7D32" w:rsidRPr="0083104C" w:rsidRDefault="009C7D32" w:rsidP="0083104C">
      <w:pPr>
        <w:tabs>
          <w:tab w:val="left" w:pos="540"/>
        </w:tabs>
        <w:spacing w:after="240" w:line="276" w:lineRule="auto"/>
        <w:rPr>
          <w:rStyle w:val="ICBAbold"/>
        </w:rPr>
      </w:pPr>
      <w:r w:rsidRPr="003D49D5">
        <w:rPr>
          <w:rStyle w:val="ICBAbold"/>
          <w:b w:val="0"/>
          <w:color w:val="FF0000"/>
        </w:rPr>
        <w:t>[hed]</w:t>
      </w:r>
      <w:r w:rsidR="00B06803">
        <w:rPr>
          <w:rStyle w:val="ICBAbold"/>
          <w:b w:val="0"/>
          <w:color w:val="FF0000"/>
        </w:rPr>
        <w:t xml:space="preserve"> </w:t>
      </w:r>
      <w:r w:rsidR="0096310C">
        <w:rPr>
          <w:rStyle w:val="ICBAbold"/>
        </w:rPr>
        <w:t>Performance? Simple</w:t>
      </w:r>
    </w:p>
    <w:p w14:paraId="15E4735A" w14:textId="1A95C163" w:rsidR="002D72FA" w:rsidRPr="003D49D5" w:rsidRDefault="009C7D32" w:rsidP="0083104C">
      <w:pPr>
        <w:tabs>
          <w:tab w:val="left" w:pos="540"/>
        </w:tabs>
        <w:spacing w:after="240" w:line="276" w:lineRule="auto"/>
        <w:rPr>
          <w:rStyle w:val="ICBAbold"/>
          <w:b w:val="0"/>
        </w:rPr>
      </w:pPr>
      <w:r w:rsidRPr="003D49D5">
        <w:rPr>
          <w:rStyle w:val="ICBAbold"/>
          <w:b w:val="0"/>
          <w:color w:val="FF0000"/>
        </w:rPr>
        <w:t xml:space="preserve">[dek] </w:t>
      </w:r>
      <w:r w:rsidR="00E5112A">
        <w:rPr>
          <w:rStyle w:val="ICBAbold"/>
          <w:b w:val="0"/>
        </w:rPr>
        <w:t xml:space="preserve">Some of the least complex bonds now have </w:t>
      </w:r>
      <w:r w:rsidR="0001238A">
        <w:rPr>
          <w:rStyle w:val="ICBAbold"/>
          <w:b w:val="0"/>
        </w:rPr>
        <w:t>attractive</w:t>
      </w:r>
      <w:r w:rsidR="00E5112A">
        <w:rPr>
          <w:rStyle w:val="ICBAbold"/>
          <w:b w:val="0"/>
        </w:rPr>
        <w:t xml:space="preserve"> returns</w:t>
      </w:r>
      <w:r w:rsidR="0076088D">
        <w:rPr>
          <w:rStyle w:val="ICBAbold"/>
          <w:b w:val="0"/>
        </w:rPr>
        <w:t>.</w:t>
      </w:r>
    </w:p>
    <w:p w14:paraId="3D76A72A" w14:textId="7424608F" w:rsidR="002D72FA" w:rsidRPr="0083104C" w:rsidRDefault="002D72FA" w:rsidP="0083104C">
      <w:pPr>
        <w:tabs>
          <w:tab w:val="left" w:pos="540"/>
        </w:tabs>
        <w:spacing w:after="240" w:line="276" w:lineRule="auto"/>
        <w:rPr>
          <w:rStyle w:val="ICBAbold"/>
          <w:b w:val="0"/>
          <w:color w:val="FF0000"/>
        </w:rPr>
      </w:pPr>
      <w:r w:rsidRPr="003D49D5">
        <w:rPr>
          <w:rStyle w:val="ICBAbold"/>
          <w:b w:val="0"/>
          <w:color w:val="FF0000"/>
        </w:rPr>
        <w:t>[byline]</w:t>
      </w:r>
      <w:r w:rsidR="0083104C">
        <w:rPr>
          <w:rStyle w:val="ICBAbold"/>
          <w:b w:val="0"/>
          <w:color w:val="FF0000"/>
        </w:rPr>
        <w:t xml:space="preserve"> </w:t>
      </w:r>
      <w:r w:rsidR="003D49D5">
        <w:rPr>
          <w:rStyle w:val="ICBAbold"/>
          <w:b w:val="0"/>
        </w:rPr>
        <w:t>By Jim Reber, ICBA Securities</w:t>
      </w:r>
    </w:p>
    <w:p w14:paraId="0BF7DA84" w14:textId="010C9CF5" w:rsidR="009C7D32" w:rsidRDefault="009C7D32" w:rsidP="0083104C">
      <w:pPr>
        <w:tabs>
          <w:tab w:val="left" w:pos="540"/>
        </w:tabs>
        <w:spacing w:after="240" w:line="276" w:lineRule="auto"/>
        <w:rPr>
          <w:rStyle w:val="ICBAbold"/>
          <w:b w:val="0"/>
          <w:color w:val="FF0000"/>
        </w:rPr>
      </w:pPr>
      <w:r w:rsidRPr="003D49D5">
        <w:rPr>
          <w:rStyle w:val="ICBAbold"/>
          <w:b w:val="0"/>
          <w:color w:val="FF0000"/>
        </w:rPr>
        <w:t>[body]</w:t>
      </w:r>
    </w:p>
    <w:p w14:paraId="04985C8B" w14:textId="0F47952A" w:rsidR="0030423E" w:rsidRDefault="00BA4880" w:rsidP="004541DC">
      <w:pPr>
        <w:tabs>
          <w:tab w:val="left" w:pos="540"/>
        </w:tabs>
        <w:spacing w:after="240" w:line="360" w:lineRule="auto"/>
        <w:rPr>
          <w:color w:val="000000" w:themeColor="text1"/>
        </w:rPr>
      </w:pPr>
      <w:r>
        <w:rPr>
          <w:color w:val="000000" w:themeColor="text1"/>
        </w:rPr>
        <w:t>“</w:t>
      </w:r>
      <w:r w:rsidR="00DC4CF9">
        <w:rPr>
          <w:color w:val="000000" w:themeColor="text1"/>
        </w:rPr>
        <w:t>I have the simplest tastes. I’m always satisfied with the best.</w:t>
      </w:r>
      <w:r>
        <w:rPr>
          <w:color w:val="000000" w:themeColor="text1"/>
        </w:rPr>
        <w:t>”</w:t>
      </w:r>
      <w:r w:rsidR="0076088D">
        <w:rPr>
          <w:color w:val="000000" w:themeColor="text1"/>
        </w:rPr>
        <w:t xml:space="preserve"> </w:t>
      </w:r>
      <w:r>
        <w:rPr>
          <w:color w:val="000000" w:themeColor="text1"/>
        </w:rPr>
        <w:t>—Oscar Wilde</w:t>
      </w:r>
    </w:p>
    <w:p w14:paraId="64F49D91" w14:textId="6C173862" w:rsidR="00A8290E" w:rsidRDefault="0027259C" w:rsidP="004541DC">
      <w:pPr>
        <w:tabs>
          <w:tab w:val="left" w:pos="540"/>
        </w:tabs>
        <w:spacing w:after="240" w:line="360" w:lineRule="auto"/>
      </w:pPr>
      <w:r w:rsidRPr="0027259C">
        <w:t>“S</w:t>
      </w:r>
      <w:r>
        <w:t>implicity is the sign of true greatness</w:t>
      </w:r>
      <w:r w:rsidR="008A2125">
        <w:t>.</w:t>
      </w:r>
      <w:r>
        <w:t>”</w:t>
      </w:r>
      <w:r w:rsidR="0076088D">
        <w:t xml:space="preserve"> </w:t>
      </w:r>
      <w:r>
        <w:t>—Vince Lombardi</w:t>
      </w:r>
    </w:p>
    <w:p w14:paraId="79F0DE51" w14:textId="5D989D42" w:rsidR="0027259C" w:rsidRDefault="0095209A" w:rsidP="004541DC">
      <w:pPr>
        <w:tabs>
          <w:tab w:val="left" w:pos="540"/>
        </w:tabs>
        <w:spacing w:after="240" w:line="360" w:lineRule="auto"/>
      </w:pPr>
      <w:r>
        <w:t>I’m guessing this is</w:t>
      </w:r>
      <w:r w:rsidR="0027259C">
        <w:t xml:space="preserve"> the only column ever to appear in </w:t>
      </w:r>
      <w:r w:rsidR="0027259C" w:rsidRPr="00253020">
        <w:rPr>
          <w:i/>
        </w:rPr>
        <w:t>Independent Bank</w:t>
      </w:r>
      <w:r w:rsidR="0027259C" w:rsidRPr="0016679B">
        <w:rPr>
          <w:i/>
          <w:iCs/>
        </w:rPr>
        <w:t>er</w:t>
      </w:r>
      <w:r w:rsidR="0027259C">
        <w:t xml:space="preserve"> that contains thoughts from</w:t>
      </w:r>
      <w:r>
        <w:t xml:space="preserve"> both</w:t>
      </w:r>
      <w:r w:rsidR="0027259C">
        <w:t xml:space="preserve"> a 19</w:t>
      </w:r>
      <w:r w:rsidR="0027259C" w:rsidRPr="0027259C">
        <w:rPr>
          <w:vertAlign w:val="superscript"/>
        </w:rPr>
        <w:t>th</w:t>
      </w:r>
      <w:r w:rsidR="002571E6">
        <w:t>-</w:t>
      </w:r>
      <w:r w:rsidR="0027259C">
        <w:t>century Irish playwright and a 20</w:t>
      </w:r>
      <w:r w:rsidR="0027259C" w:rsidRPr="0027259C">
        <w:rPr>
          <w:vertAlign w:val="superscript"/>
        </w:rPr>
        <w:t>th</w:t>
      </w:r>
      <w:r w:rsidR="002571E6">
        <w:t>-</w:t>
      </w:r>
      <w:r w:rsidR="0027259C">
        <w:t>century football coach. That’s, ahem, simple enough. The trick will be to explain how this pertains to bond portfolio management</w:t>
      </w:r>
      <w:r w:rsidR="0056189E">
        <w:t xml:space="preserve"> in the next four minutes</w:t>
      </w:r>
      <w:r w:rsidR="0027259C">
        <w:t xml:space="preserve">. </w:t>
      </w:r>
    </w:p>
    <w:p w14:paraId="6CAAA8E3" w14:textId="2213053E" w:rsidR="006879D4" w:rsidRDefault="006879D4" w:rsidP="004541DC">
      <w:pPr>
        <w:tabs>
          <w:tab w:val="left" w:pos="540"/>
        </w:tabs>
        <w:spacing w:after="240" w:line="360" w:lineRule="auto"/>
      </w:pPr>
      <w:r>
        <w:t xml:space="preserve">Community bankers tend to favor securities that have less, </w:t>
      </w:r>
      <w:r w:rsidR="00CA7D13">
        <w:t xml:space="preserve">rather </w:t>
      </w:r>
      <w:r>
        <w:t>than more, complexity. Some of that is due to internaliz</w:t>
      </w:r>
      <w:r w:rsidR="0085305A">
        <w:t>ing</w:t>
      </w:r>
      <w:r>
        <w:t xml:space="preserve"> that risk belongs in the loan portfolio. Some is the result of examiners having ideas about </w:t>
      </w:r>
      <w:r w:rsidR="002571E6">
        <w:t xml:space="preserve">the </w:t>
      </w:r>
      <w:r>
        <w:t xml:space="preserve">suitability of certain investments for community banks. Some is that a collection of generic securities probably has greater liquidity </w:t>
      </w:r>
      <w:r w:rsidR="005643D7">
        <w:t>and</w:t>
      </w:r>
      <w:r>
        <w:t xml:space="preserve"> can be more easily converted to cash</w:t>
      </w:r>
      <w:r w:rsidR="0056189E">
        <w:t>,</w:t>
      </w:r>
      <w:r>
        <w:t xml:space="preserve"> if necessary. </w:t>
      </w:r>
    </w:p>
    <w:p w14:paraId="297C8C34" w14:textId="7673FBCF" w:rsidR="006879D4" w:rsidRDefault="006879D4" w:rsidP="004541DC">
      <w:pPr>
        <w:tabs>
          <w:tab w:val="left" w:pos="540"/>
        </w:tabs>
        <w:spacing w:after="240" w:line="360" w:lineRule="auto"/>
      </w:pPr>
      <w:r>
        <w:t xml:space="preserve">What’s implicit in this conversation is </w:t>
      </w:r>
      <w:r w:rsidR="0056189E">
        <w:t>many</w:t>
      </w:r>
      <w:r>
        <w:t xml:space="preserve"> investor</w:t>
      </w:r>
      <w:r w:rsidR="0056189E">
        <w:t>s</w:t>
      </w:r>
      <w:r>
        <w:t xml:space="preserve"> </w:t>
      </w:r>
      <w:r w:rsidR="0056189E">
        <w:t>are</w:t>
      </w:r>
      <w:r>
        <w:t xml:space="preserve"> willing, within reason, to sacrifice yield to achieve</w:t>
      </w:r>
      <w:r w:rsidR="005643D7">
        <w:t xml:space="preserve"> other objectives. </w:t>
      </w:r>
      <w:r w:rsidR="0095209A">
        <w:t>However, i</w:t>
      </w:r>
      <w:r w:rsidR="005643D7">
        <w:t>n 2023</w:t>
      </w:r>
      <w:r w:rsidR="002571E6">
        <w:t>,</w:t>
      </w:r>
      <w:r w:rsidR="005643D7">
        <w:t xml:space="preserve"> a number of securities that fall </w:t>
      </w:r>
      <w:r w:rsidR="0056189E">
        <w:t>into</w:t>
      </w:r>
      <w:r w:rsidR="005643D7">
        <w:t xml:space="preserve"> the non-complex </w:t>
      </w:r>
      <w:r w:rsidR="0056189E">
        <w:t>category</w:t>
      </w:r>
      <w:r w:rsidR="005643D7">
        <w:t xml:space="preserve"> are also among the highe</w:t>
      </w:r>
      <w:r w:rsidR="00CA7D13">
        <w:t xml:space="preserve">r </w:t>
      </w:r>
      <w:r w:rsidR="005643D7">
        <w:t>yielding</w:t>
      </w:r>
      <w:r w:rsidR="008A2125">
        <w:t>; specifically, government agency bonds.</w:t>
      </w:r>
      <w:r w:rsidR="005643D7">
        <w:t xml:space="preserve"> So with the </w:t>
      </w:r>
      <w:r w:rsidR="008A2125">
        <w:t>ability</w:t>
      </w:r>
      <w:r w:rsidR="005643D7">
        <w:t xml:space="preserve"> to achieve two objectives at once, let’s take a closer look at this </w:t>
      </w:r>
      <w:r w:rsidR="00CA7D13">
        <w:t xml:space="preserve">unique </w:t>
      </w:r>
      <w:r w:rsidR="005643D7">
        <w:t xml:space="preserve">opportunity. </w:t>
      </w:r>
    </w:p>
    <w:p w14:paraId="74A74DCD" w14:textId="77777777" w:rsidR="002571E6" w:rsidRDefault="002571E6" w:rsidP="004541DC">
      <w:pPr>
        <w:tabs>
          <w:tab w:val="left" w:pos="540"/>
        </w:tabs>
        <w:spacing w:after="240" w:line="360" w:lineRule="auto"/>
      </w:pPr>
    </w:p>
    <w:p w14:paraId="75019297" w14:textId="1D123F06" w:rsidR="0056189E" w:rsidRDefault="00181C0B" w:rsidP="004541DC">
      <w:pPr>
        <w:tabs>
          <w:tab w:val="left" w:pos="540"/>
        </w:tabs>
        <w:spacing w:after="240" w:line="360" w:lineRule="auto"/>
        <w:rPr>
          <w:b/>
          <w:color w:val="000000" w:themeColor="text1"/>
        </w:rPr>
      </w:pPr>
      <w:r w:rsidRPr="0069239E">
        <w:rPr>
          <w:color w:val="FF0000"/>
        </w:rPr>
        <w:lastRenderedPageBreak/>
        <w:t>[subhed]</w:t>
      </w:r>
      <w:r w:rsidRPr="0069239E">
        <w:rPr>
          <w:b/>
          <w:color w:val="FF0000"/>
        </w:rPr>
        <w:t xml:space="preserve"> </w:t>
      </w:r>
      <w:r w:rsidR="0096310C">
        <w:rPr>
          <w:b/>
          <w:color w:val="000000" w:themeColor="text1"/>
        </w:rPr>
        <w:t>Conditions met</w:t>
      </w:r>
    </w:p>
    <w:p w14:paraId="12FB2180" w14:textId="239FB7B6" w:rsidR="00A8290E" w:rsidRDefault="008A2125" w:rsidP="004541DC">
      <w:pPr>
        <w:tabs>
          <w:tab w:val="left" w:pos="540"/>
        </w:tabs>
        <w:spacing w:after="240" w:line="360" w:lineRule="auto"/>
        <w:rPr>
          <w:color w:val="000000" w:themeColor="text1"/>
        </w:rPr>
      </w:pPr>
      <w:r>
        <w:rPr>
          <w:color w:val="000000" w:themeColor="text1"/>
        </w:rPr>
        <w:t>When certain investment sectors seem to offer more value than usual, a typical explanation is there is an imbalance of supply and demand. That</w:t>
      </w:r>
      <w:r w:rsidR="004B3C1F">
        <w:rPr>
          <w:color w:val="000000" w:themeColor="text1"/>
        </w:rPr>
        <w:t>’s</w:t>
      </w:r>
      <w:r>
        <w:rPr>
          <w:color w:val="000000" w:themeColor="text1"/>
        </w:rPr>
        <w:t xml:space="preserve"> partly at play here, but there’s more to it. Government agency bonds are one step removed from the benchmark securities for the entire </w:t>
      </w:r>
      <w:r w:rsidR="0085305A">
        <w:rPr>
          <w:color w:val="000000" w:themeColor="text1"/>
        </w:rPr>
        <w:t>financial universe</w:t>
      </w:r>
      <w:r>
        <w:rPr>
          <w:color w:val="000000" w:themeColor="text1"/>
        </w:rPr>
        <w:t xml:space="preserve">, those being </w:t>
      </w:r>
      <w:r w:rsidR="0085305A">
        <w:rPr>
          <w:color w:val="000000" w:themeColor="text1"/>
        </w:rPr>
        <w:t xml:space="preserve">U.S. </w:t>
      </w:r>
      <w:r w:rsidR="002571E6">
        <w:rPr>
          <w:color w:val="000000" w:themeColor="text1"/>
        </w:rPr>
        <w:t>treasuries</w:t>
      </w:r>
      <w:r>
        <w:rPr>
          <w:color w:val="000000" w:themeColor="text1"/>
        </w:rPr>
        <w:t>. Agencies are obligations of your favorite government sponsored enterprises (GSEs), primarily Fannie Mae, Freddie Mac and the Federal Home Loan Bank. Their balances do not amortize; their only variability is if they are called early;</w:t>
      </w:r>
      <w:r w:rsidR="004B3C1F">
        <w:rPr>
          <w:color w:val="000000" w:themeColor="text1"/>
        </w:rPr>
        <w:t xml:space="preserve"> and</w:t>
      </w:r>
      <w:r>
        <w:rPr>
          <w:color w:val="000000" w:themeColor="text1"/>
        </w:rPr>
        <w:t xml:space="preserve"> around 1</w:t>
      </w:r>
      <w:r w:rsidR="0085305A">
        <w:rPr>
          <w:color w:val="000000" w:themeColor="text1"/>
        </w:rPr>
        <w:t>0</w:t>
      </w:r>
      <w:r>
        <w:rPr>
          <w:color w:val="000000" w:themeColor="text1"/>
        </w:rPr>
        <w:t>% of agencies have no call features at all</w:t>
      </w:r>
      <w:r w:rsidR="00D02622">
        <w:rPr>
          <w:color w:val="000000" w:themeColor="text1"/>
        </w:rPr>
        <w:t xml:space="preserve"> and are </w:t>
      </w:r>
      <w:r w:rsidR="00CA7D13">
        <w:rPr>
          <w:color w:val="000000" w:themeColor="text1"/>
        </w:rPr>
        <w:t>commonly</w:t>
      </w:r>
      <w:r w:rsidR="00D02622">
        <w:rPr>
          <w:color w:val="000000" w:themeColor="text1"/>
        </w:rPr>
        <w:t xml:space="preserve"> known as “bullets.” </w:t>
      </w:r>
    </w:p>
    <w:p w14:paraId="18A451FD" w14:textId="50A30293" w:rsidR="002571E6" w:rsidRDefault="00CA7D13" w:rsidP="004541DC">
      <w:pPr>
        <w:tabs>
          <w:tab w:val="left" w:pos="540"/>
        </w:tabs>
        <w:spacing w:after="240" w:line="360" w:lineRule="auto"/>
        <w:rPr>
          <w:color w:val="000000" w:themeColor="text1"/>
        </w:rPr>
      </w:pPr>
      <w:r>
        <w:rPr>
          <w:color w:val="000000" w:themeColor="text1"/>
        </w:rPr>
        <w:t>Why are their yields now higher than many mortgage-backed securities</w:t>
      </w:r>
      <w:r w:rsidR="002054F1">
        <w:rPr>
          <w:color w:val="000000" w:themeColor="text1"/>
        </w:rPr>
        <w:t xml:space="preserve"> (MBS)</w:t>
      </w:r>
      <w:r>
        <w:rPr>
          <w:color w:val="000000" w:themeColor="text1"/>
        </w:rPr>
        <w:t xml:space="preserve">, and even municipal bonds? Let’s start with the inverted yield curve. At the moment, the two-year </w:t>
      </w:r>
      <w:r w:rsidR="002571E6">
        <w:rPr>
          <w:color w:val="000000" w:themeColor="text1"/>
        </w:rPr>
        <w:t xml:space="preserve">treasury </w:t>
      </w:r>
      <w:r>
        <w:rPr>
          <w:color w:val="000000" w:themeColor="text1"/>
        </w:rPr>
        <w:t xml:space="preserve">has </w:t>
      </w:r>
      <w:r w:rsidR="004822C6">
        <w:rPr>
          <w:color w:val="000000" w:themeColor="text1"/>
        </w:rPr>
        <w:t>9</w:t>
      </w:r>
      <w:r>
        <w:rPr>
          <w:color w:val="000000" w:themeColor="text1"/>
        </w:rPr>
        <w:t>0 basis points (</w:t>
      </w:r>
      <w:r w:rsidR="002571E6">
        <w:rPr>
          <w:color w:val="000000" w:themeColor="text1"/>
        </w:rPr>
        <w:t>0</w:t>
      </w:r>
      <w:r>
        <w:rPr>
          <w:color w:val="000000" w:themeColor="text1"/>
        </w:rPr>
        <w:t>.</w:t>
      </w:r>
      <w:r w:rsidR="004822C6">
        <w:rPr>
          <w:color w:val="000000" w:themeColor="text1"/>
        </w:rPr>
        <w:t>9</w:t>
      </w:r>
      <w:r>
        <w:rPr>
          <w:color w:val="000000" w:themeColor="text1"/>
        </w:rPr>
        <w:t xml:space="preserve">%) more yield than the </w:t>
      </w:r>
      <w:r w:rsidR="002571E6">
        <w:rPr>
          <w:color w:val="000000" w:themeColor="text1"/>
        </w:rPr>
        <w:t>10</w:t>
      </w:r>
      <w:r>
        <w:rPr>
          <w:color w:val="000000" w:themeColor="text1"/>
        </w:rPr>
        <w:t>-year. Many community bank portfolios have average durations in the “belly” of the curve, between</w:t>
      </w:r>
      <w:r w:rsidR="002571E6">
        <w:rPr>
          <w:color w:val="000000" w:themeColor="text1"/>
        </w:rPr>
        <w:t>,</w:t>
      </w:r>
      <w:r w:rsidR="002054F1">
        <w:rPr>
          <w:color w:val="000000" w:themeColor="text1"/>
        </w:rPr>
        <w:t xml:space="preserve"> say, three and seven years. So their preferred maturities have a head start over longer ones. </w:t>
      </w:r>
    </w:p>
    <w:p w14:paraId="151ABF56" w14:textId="6C5931E2" w:rsidR="002571E6" w:rsidRDefault="002054F1" w:rsidP="004541DC">
      <w:pPr>
        <w:tabs>
          <w:tab w:val="left" w:pos="540"/>
        </w:tabs>
        <w:spacing w:after="240" w:line="360" w:lineRule="auto"/>
        <w:rPr>
          <w:color w:val="000000" w:themeColor="text1"/>
        </w:rPr>
      </w:pPr>
      <w:r>
        <w:rPr>
          <w:color w:val="000000" w:themeColor="text1"/>
        </w:rPr>
        <w:t xml:space="preserve">Concerning supply, the Fed still owns a pile of MBS, </w:t>
      </w:r>
      <w:r w:rsidR="00485D67">
        <w:rPr>
          <w:color w:val="000000" w:themeColor="text1"/>
        </w:rPr>
        <w:t>over 20% of the market, and doesn’t yet seem compelled to unload them on the market, which is probably good for community banks. The shorter municipal bonds out there, five years and less, continue to be gobbled up</w:t>
      </w:r>
      <w:r w:rsidR="0096310C">
        <w:rPr>
          <w:color w:val="000000" w:themeColor="text1"/>
        </w:rPr>
        <w:t xml:space="preserve"> by</w:t>
      </w:r>
      <w:r w:rsidR="00485D67">
        <w:rPr>
          <w:color w:val="000000" w:themeColor="text1"/>
        </w:rPr>
        <w:t xml:space="preserve"> </w:t>
      </w:r>
      <w:proofErr w:type="spellStart"/>
      <w:r w:rsidR="00485D67">
        <w:rPr>
          <w:color w:val="000000" w:themeColor="text1"/>
        </w:rPr>
        <w:t>nondepositories</w:t>
      </w:r>
      <w:proofErr w:type="spellEnd"/>
      <w:r w:rsidR="00485D67">
        <w:rPr>
          <w:color w:val="000000" w:themeColor="text1"/>
        </w:rPr>
        <w:t xml:space="preserve">, making the </w:t>
      </w:r>
      <w:proofErr w:type="spellStart"/>
      <w:r w:rsidR="00485D67">
        <w:rPr>
          <w:color w:val="000000" w:themeColor="text1"/>
        </w:rPr>
        <w:t>muni</w:t>
      </w:r>
      <w:proofErr w:type="spellEnd"/>
      <w:r w:rsidR="00485D67">
        <w:rPr>
          <w:color w:val="000000" w:themeColor="text1"/>
        </w:rPr>
        <w:t xml:space="preserve"> curve, as usual, positively sloped. </w:t>
      </w:r>
    </w:p>
    <w:p w14:paraId="5ACD55CB" w14:textId="2E36A84A" w:rsidR="00CA7D13" w:rsidRDefault="00485D67" w:rsidP="004541DC">
      <w:pPr>
        <w:tabs>
          <w:tab w:val="left" w:pos="540"/>
        </w:tabs>
        <w:spacing w:after="240" w:line="360" w:lineRule="auto"/>
        <w:rPr>
          <w:color w:val="000000" w:themeColor="text1"/>
        </w:rPr>
      </w:pPr>
      <w:r>
        <w:rPr>
          <w:color w:val="000000" w:themeColor="text1"/>
        </w:rPr>
        <w:t xml:space="preserve">Finally, with the big run-up in yields last year, the agencies </w:t>
      </w:r>
      <w:r w:rsidR="007B6761">
        <w:rPr>
          <w:color w:val="000000" w:themeColor="text1"/>
        </w:rPr>
        <w:t>with</w:t>
      </w:r>
      <w:r>
        <w:rPr>
          <w:color w:val="000000" w:themeColor="text1"/>
        </w:rPr>
        <w:t xml:space="preserve"> call features are much more likely to be at some point </w:t>
      </w:r>
      <w:r w:rsidR="007B6761">
        <w:rPr>
          <w:color w:val="000000" w:themeColor="text1"/>
        </w:rPr>
        <w:t>“</w:t>
      </w:r>
      <w:r>
        <w:rPr>
          <w:color w:val="000000" w:themeColor="text1"/>
        </w:rPr>
        <w:t>in-the-money</w:t>
      </w:r>
      <w:r w:rsidR="007B6761">
        <w:rPr>
          <w:color w:val="000000" w:themeColor="text1"/>
        </w:rPr>
        <w:t>”</w:t>
      </w:r>
      <w:r>
        <w:rPr>
          <w:color w:val="000000" w:themeColor="text1"/>
        </w:rPr>
        <w:t xml:space="preserve"> to be redeemed early, </w:t>
      </w:r>
      <w:r w:rsidR="007B6761">
        <w:rPr>
          <w:color w:val="000000" w:themeColor="text1"/>
        </w:rPr>
        <w:t>and</w:t>
      </w:r>
      <w:r>
        <w:rPr>
          <w:color w:val="000000" w:themeColor="text1"/>
        </w:rPr>
        <w:t xml:space="preserve"> investors have demanded compensation in the form of yield, today</w:t>
      </w:r>
      <w:r w:rsidR="0081192A">
        <w:rPr>
          <w:color w:val="000000" w:themeColor="text1"/>
        </w:rPr>
        <w:t>, so spreads are unusually wide, today</w:t>
      </w:r>
      <w:r>
        <w:rPr>
          <w:color w:val="000000" w:themeColor="text1"/>
        </w:rPr>
        <w:t xml:space="preserve">. </w:t>
      </w:r>
    </w:p>
    <w:p w14:paraId="01E2FB0C" w14:textId="77777777" w:rsidR="002571E6" w:rsidRPr="008A2125" w:rsidRDefault="002571E6" w:rsidP="004541DC">
      <w:pPr>
        <w:tabs>
          <w:tab w:val="left" w:pos="540"/>
        </w:tabs>
        <w:spacing w:after="240" w:line="360" w:lineRule="auto"/>
        <w:rPr>
          <w:color w:val="000000" w:themeColor="text1"/>
        </w:rPr>
      </w:pPr>
    </w:p>
    <w:p w14:paraId="0745B599" w14:textId="3A3BFF87" w:rsidR="00635CD9" w:rsidRDefault="00D720E7" w:rsidP="004541DC">
      <w:pPr>
        <w:tabs>
          <w:tab w:val="left" w:pos="540"/>
        </w:tabs>
        <w:spacing w:after="240" w:line="360" w:lineRule="auto"/>
        <w:rPr>
          <w:b/>
          <w:color w:val="000000" w:themeColor="text1"/>
        </w:rPr>
      </w:pPr>
      <w:r w:rsidRPr="009A1AC5">
        <w:rPr>
          <w:b/>
          <w:color w:val="FF0000"/>
        </w:rPr>
        <w:t>[</w:t>
      </w:r>
      <w:r w:rsidR="00181C0B" w:rsidRPr="009A1AC5">
        <w:rPr>
          <w:b/>
          <w:color w:val="FF0000"/>
        </w:rPr>
        <w:t xml:space="preserve">subhed] </w:t>
      </w:r>
      <w:r w:rsidR="0095209A">
        <w:rPr>
          <w:b/>
          <w:color w:val="000000" w:themeColor="text1"/>
        </w:rPr>
        <w:t>Add</w:t>
      </w:r>
      <w:r w:rsidR="0096310C">
        <w:rPr>
          <w:b/>
          <w:color w:val="000000" w:themeColor="text1"/>
        </w:rPr>
        <w:t xml:space="preserve"> yield, </w:t>
      </w:r>
      <w:r w:rsidR="0095209A">
        <w:rPr>
          <w:b/>
          <w:color w:val="000000" w:themeColor="text1"/>
        </w:rPr>
        <w:t>deduct</w:t>
      </w:r>
      <w:r w:rsidR="0096310C">
        <w:rPr>
          <w:b/>
          <w:color w:val="000000" w:themeColor="text1"/>
        </w:rPr>
        <w:t xml:space="preserve"> risk</w:t>
      </w:r>
    </w:p>
    <w:p w14:paraId="532B9751" w14:textId="79C86EE5" w:rsidR="009A1AC5" w:rsidRDefault="009A1AC5" w:rsidP="004541DC">
      <w:pPr>
        <w:tabs>
          <w:tab w:val="left" w:pos="540"/>
        </w:tabs>
        <w:spacing w:after="240" w:line="360" w:lineRule="auto"/>
        <w:rPr>
          <w:color w:val="000000" w:themeColor="text1"/>
        </w:rPr>
      </w:pPr>
      <w:r>
        <w:rPr>
          <w:color w:val="000000" w:themeColor="text1"/>
        </w:rPr>
        <w:t xml:space="preserve">For portfolio managers with money to invest now, </w:t>
      </w:r>
      <w:r w:rsidR="0085305A">
        <w:rPr>
          <w:color w:val="000000" w:themeColor="text1"/>
        </w:rPr>
        <w:t xml:space="preserve">you </w:t>
      </w:r>
      <w:r>
        <w:rPr>
          <w:color w:val="000000" w:themeColor="text1"/>
        </w:rPr>
        <w:t>likely</w:t>
      </w:r>
      <w:r w:rsidR="0085305A">
        <w:rPr>
          <w:color w:val="000000" w:themeColor="text1"/>
        </w:rPr>
        <w:t xml:space="preserve"> can find</w:t>
      </w:r>
      <w:r>
        <w:rPr>
          <w:color w:val="000000" w:themeColor="text1"/>
        </w:rPr>
        <w:t xml:space="preserve"> </w:t>
      </w:r>
      <w:r w:rsidR="0085305A">
        <w:rPr>
          <w:color w:val="000000" w:themeColor="text1"/>
        </w:rPr>
        <w:t xml:space="preserve">an array </w:t>
      </w:r>
      <w:r>
        <w:rPr>
          <w:color w:val="000000" w:themeColor="text1"/>
        </w:rPr>
        <w:t>of shorter investments that h</w:t>
      </w:r>
      <w:r w:rsidR="0085305A">
        <w:rPr>
          <w:color w:val="000000" w:themeColor="text1"/>
        </w:rPr>
        <w:t>ave</w:t>
      </w:r>
      <w:r>
        <w:rPr>
          <w:color w:val="000000" w:themeColor="text1"/>
        </w:rPr>
        <w:t xml:space="preserve"> </w:t>
      </w:r>
      <w:r w:rsidR="008B6BBA">
        <w:rPr>
          <w:color w:val="000000" w:themeColor="text1"/>
        </w:rPr>
        <w:t>nice</w:t>
      </w:r>
      <w:r>
        <w:rPr>
          <w:color w:val="000000" w:themeColor="text1"/>
        </w:rPr>
        <w:t xml:space="preserve"> risk/reward profile</w:t>
      </w:r>
      <w:r w:rsidR="0072302B">
        <w:rPr>
          <w:color w:val="000000" w:themeColor="text1"/>
        </w:rPr>
        <w:t>s</w:t>
      </w:r>
      <w:r>
        <w:rPr>
          <w:color w:val="000000" w:themeColor="text1"/>
        </w:rPr>
        <w:t xml:space="preserve">. The </w:t>
      </w:r>
      <w:r w:rsidR="0085305A">
        <w:rPr>
          <w:color w:val="000000" w:themeColor="text1"/>
        </w:rPr>
        <w:t>trick</w:t>
      </w:r>
      <w:r>
        <w:rPr>
          <w:color w:val="000000" w:themeColor="text1"/>
        </w:rPr>
        <w:t xml:space="preserve"> is to lock down these yields for the period of time that fits the </w:t>
      </w:r>
      <w:r w:rsidR="0085305A">
        <w:rPr>
          <w:color w:val="000000" w:themeColor="text1"/>
        </w:rPr>
        <w:t xml:space="preserve">bank’s </w:t>
      </w:r>
      <w:r>
        <w:rPr>
          <w:color w:val="000000" w:themeColor="text1"/>
        </w:rPr>
        <w:t xml:space="preserve">needs. Three-year </w:t>
      </w:r>
      <w:r w:rsidR="002571E6">
        <w:rPr>
          <w:color w:val="000000" w:themeColor="text1"/>
        </w:rPr>
        <w:t xml:space="preserve">treasuries </w:t>
      </w:r>
      <w:r>
        <w:rPr>
          <w:color w:val="000000" w:themeColor="text1"/>
        </w:rPr>
        <w:t>have been hovering around 4</w:t>
      </w:r>
      <w:r w:rsidR="004822C6">
        <w:rPr>
          <w:color w:val="000000" w:themeColor="text1"/>
        </w:rPr>
        <w:t>.25</w:t>
      </w:r>
      <w:r>
        <w:rPr>
          <w:color w:val="000000" w:themeColor="text1"/>
        </w:rPr>
        <w:t>%</w:t>
      </w:r>
      <w:r w:rsidR="004822C6">
        <w:rPr>
          <w:color w:val="000000" w:themeColor="text1"/>
        </w:rPr>
        <w:t xml:space="preserve"> </w:t>
      </w:r>
      <w:r w:rsidR="004822C6">
        <w:rPr>
          <w:color w:val="000000" w:themeColor="text1"/>
        </w:rPr>
        <w:lastRenderedPageBreak/>
        <w:t>recently</w:t>
      </w:r>
      <w:r>
        <w:rPr>
          <w:color w:val="000000" w:themeColor="text1"/>
        </w:rPr>
        <w:t>; three-year bullets have about 10 b</w:t>
      </w:r>
      <w:r w:rsidR="00FD3F75">
        <w:rPr>
          <w:color w:val="000000" w:themeColor="text1"/>
        </w:rPr>
        <w:t>asis points</w:t>
      </w:r>
      <w:r>
        <w:rPr>
          <w:color w:val="000000" w:themeColor="text1"/>
        </w:rPr>
        <w:t xml:space="preserve"> more, and a </w:t>
      </w:r>
      <w:r w:rsidR="00907D7B">
        <w:rPr>
          <w:color w:val="000000" w:themeColor="text1"/>
        </w:rPr>
        <w:t xml:space="preserve">three-year callable gets almost another full percentage point in yield, which at the moment means </w:t>
      </w:r>
      <w:r w:rsidR="004822C6">
        <w:rPr>
          <w:color w:val="000000" w:themeColor="text1"/>
        </w:rPr>
        <w:t>around</w:t>
      </w:r>
      <w:r w:rsidR="00907D7B">
        <w:rPr>
          <w:color w:val="000000" w:themeColor="text1"/>
        </w:rPr>
        <w:t xml:space="preserve"> 5</w:t>
      </w:r>
      <w:r w:rsidR="004822C6">
        <w:rPr>
          <w:color w:val="000000" w:themeColor="text1"/>
        </w:rPr>
        <w:t>.5</w:t>
      </w:r>
      <w:r w:rsidR="00907D7B">
        <w:rPr>
          <w:color w:val="000000" w:themeColor="text1"/>
        </w:rPr>
        <w:t xml:space="preserve">% to maturity. </w:t>
      </w:r>
    </w:p>
    <w:p w14:paraId="763E6B63" w14:textId="4B53830C" w:rsidR="00FD3F75" w:rsidRDefault="00FD3F75" w:rsidP="004541DC">
      <w:pPr>
        <w:tabs>
          <w:tab w:val="left" w:pos="540"/>
        </w:tabs>
        <w:spacing w:after="240" w:line="360" w:lineRule="auto"/>
        <w:rPr>
          <w:color w:val="000000" w:themeColor="text1"/>
        </w:rPr>
      </w:pPr>
      <w:r>
        <w:rPr>
          <w:color w:val="000000" w:themeColor="text1"/>
        </w:rPr>
        <w:t>Contrast this with a 15-year “current coupon” MBS. These have 15-year stated finals and will have 180 separate monthly</w:t>
      </w:r>
      <w:r w:rsidR="0072302B">
        <w:rPr>
          <w:color w:val="000000" w:themeColor="text1"/>
        </w:rPr>
        <w:t xml:space="preserve"> P&amp;I</w:t>
      </w:r>
      <w:r>
        <w:rPr>
          <w:color w:val="000000" w:themeColor="text1"/>
        </w:rPr>
        <w:t xml:space="preserve"> payments until they mature. They have around </w:t>
      </w:r>
      <w:r w:rsidR="004822C6">
        <w:rPr>
          <w:color w:val="000000" w:themeColor="text1"/>
        </w:rPr>
        <w:t>5</w:t>
      </w:r>
      <w:r>
        <w:rPr>
          <w:color w:val="000000" w:themeColor="text1"/>
        </w:rPr>
        <w:t xml:space="preserve">% yields, and average lives initially around five years. </w:t>
      </w:r>
      <w:r w:rsidR="0072302B">
        <w:rPr>
          <w:color w:val="000000" w:themeColor="text1"/>
        </w:rPr>
        <w:t>A</w:t>
      </w:r>
      <w:r>
        <w:rPr>
          <w:color w:val="000000" w:themeColor="text1"/>
        </w:rPr>
        <w:t xml:space="preserve"> quick comparison by the seasoned community banker sees the </w:t>
      </w:r>
      <w:r w:rsidR="0072302B">
        <w:rPr>
          <w:color w:val="000000" w:themeColor="text1"/>
        </w:rPr>
        <w:t xml:space="preserve">callable </w:t>
      </w:r>
      <w:r>
        <w:rPr>
          <w:color w:val="000000" w:themeColor="text1"/>
        </w:rPr>
        <w:t>agency having less price risk and more yield</w:t>
      </w:r>
      <w:r w:rsidR="0072302B">
        <w:rPr>
          <w:color w:val="000000" w:themeColor="text1"/>
        </w:rPr>
        <w:t xml:space="preserve">. It also is </w:t>
      </w:r>
      <w:r w:rsidR="0001238A">
        <w:rPr>
          <w:color w:val="000000" w:themeColor="text1"/>
        </w:rPr>
        <w:t>more predictable</w:t>
      </w:r>
      <w:r w:rsidR="0072302B">
        <w:rPr>
          <w:color w:val="000000" w:themeColor="text1"/>
        </w:rPr>
        <w:t xml:space="preserve">; the only variable is whether the call option gets exercised or not. </w:t>
      </w:r>
    </w:p>
    <w:p w14:paraId="24CAD12C" w14:textId="23116F5F" w:rsidR="0072302B" w:rsidRDefault="0072302B" w:rsidP="004541DC">
      <w:pPr>
        <w:tabs>
          <w:tab w:val="left" w:pos="540"/>
        </w:tabs>
        <w:spacing w:after="240" w:line="360" w:lineRule="auto"/>
        <w:rPr>
          <w:color w:val="000000" w:themeColor="text1"/>
        </w:rPr>
      </w:pPr>
      <w:r>
        <w:rPr>
          <w:color w:val="000000" w:themeColor="text1"/>
        </w:rPr>
        <w:t>There are</w:t>
      </w:r>
      <w:r w:rsidR="002571E6">
        <w:rPr>
          <w:color w:val="000000" w:themeColor="text1"/>
        </w:rPr>
        <w:t>,</w:t>
      </w:r>
      <w:r>
        <w:rPr>
          <w:color w:val="000000" w:themeColor="text1"/>
        </w:rPr>
        <w:t xml:space="preserve"> of course</w:t>
      </w:r>
      <w:r w:rsidR="002571E6">
        <w:rPr>
          <w:color w:val="000000" w:themeColor="text1"/>
        </w:rPr>
        <w:t>,</w:t>
      </w:r>
      <w:r>
        <w:rPr>
          <w:color w:val="000000" w:themeColor="text1"/>
        </w:rPr>
        <w:t xml:space="preserve"> more factors to consider than just yield and term; sector weightings and cash flow are examples. Another legitimate consideration is interest rate risk. This column has presupposed that the banker prefers shorter bonds, when in fact the longer option may be more appropriate.</w:t>
      </w:r>
      <w:r w:rsidR="0001238A">
        <w:rPr>
          <w:color w:val="000000" w:themeColor="text1"/>
        </w:rPr>
        <w:t xml:space="preserve"> Still, agency bonds may deserve a look as an alternative to more sophisticated products without sacrificing yield. </w:t>
      </w:r>
    </w:p>
    <w:p w14:paraId="45085E1F" w14:textId="3DDD8E84" w:rsidR="009A1AC5" w:rsidRPr="009A1AC5" w:rsidRDefault="00680A5F" w:rsidP="004541DC">
      <w:pPr>
        <w:tabs>
          <w:tab w:val="left" w:pos="540"/>
        </w:tabs>
        <w:spacing w:after="240" w:line="360" w:lineRule="auto"/>
        <w:rPr>
          <w:color w:val="000000" w:themeColor="text1"/>
        </w:rPr>
      </w:pPr>
      <w:r>
        <w:rPr>
          <w:color w:val="000000" w:themeColor="text1"/>
        </w:rPr>
        <w:t xml:space="preserve">That leaves us to close with a famous quote from the </w:t>
      </w:r>
      <w:r w:rsidR="00F91A95">
        <w:rPr>
          <w:color w:val="000000" w:themeColor="text1"/>
        </w:rPr>
        <w:t xml:space="preserve"> most pragmatic of investors</w:t>
      </w:r>
      <w:r>
        <w:rPr>
          <w:color w:val="000000" w:themeColor="text1"/>
        </w:rPr>
        <w:t xml:space="preserve">, Warren Buffett: </w:t>
      </w:r>
      <w:r w:rsidRPr="00680A5F">
        <w:rPr>
          <w:color w:val="000000" w:themeColor="text1"/>
        </w:rPr>
        <w:t>“Whether we’re talking about socks or stocks, I like buying quality merchandise when it is marked down.”</w:t>
      </w:r>
    </w:p>
    <w:p w14:paraId="6E0B3AC9" w14:textId="29FA3235" w:rsidR="003D49D5" w:rsidRPr="009B4A7A" w:rsidRDefault="00171949" w:rsidP="004541DC">
      <w:pPr>
        <w:tabs>
          <w:tab w:val="left" w:pos="540"/>
        </w:tabs>
        <w:spacing w:after="240" w:line="360" w:lineRule="auto"/>
        <w:rPr>
          <w:b/>
          <w:bCs/>
          <w:iCs/>
        </w:rPr>
      </w:pPr>
      <w:r>
        <w:rPr>
          <w:rStyle w:val="ICBAbold"/>
          <w:iCs/>
        </w:rPr>
        <w:t>J</w:t>
      </w:r>
      <w:r w:rsidR="003D49D5" w:rsidRPr="005F77C9">
        <w:rPr>
          <w:rStyle w:val="ICBAbold"/>
          <w:iCs/>
        </w:rPr>
        <w:t>im Reber</w:t>
      </w:r>
      <w:r w:rsidR="003D49D5" w:rsidRPr="00920512">
        <w:rPr>
          <w:iCs/>
        </w:rPr>
        <w:t xml:space="preserve"> </w:t>
      </w:r>
      <w:r w:rsidR="003D49D5" w:rsidRPr="009B4A7A">
        <w:rPr>
          <w:b/>
          <w:bCs/>
          <w:iCs/>
        </w:rPr>
        <w:t>(</w:t>
      </w:r>
      <w:hyperlink r:id="rId6" w:history="1">
        <w:r w:rsidR="003D49D5" w:rsidRPr="009B4A7A">
          <w:rPr>
            <w:rStyle w:val="Hyperlink"/>
            <w:b/>
            <w:bCs/>
            <w:i/>
          </w:rPr>
          <w:t>jreber@icbasecurities.com</w:t>
        </w:r>
      </w:hyperlink>
      <w:r w:rsidR="003D49D5" w:rsidRPr="009B4A7A">
        <w:rPr>
          <w:b/>
          <w:bCs/>
          <w:iCs/>
        </w:rPr>
        <w:t xml:space="preserve">) is president and CEO of ICBA Securities, ICBA’s institutional, fixed-income broker-dealer for community banks. </w:t>
      </w:r>
    </w:p>
    <w:p w14:paraId="6C0B664F" w14:textId="7FBA79EB" w:rsidR="00892B69" w:rsidRDefault="00C56651" w:rsidP="004541DC">
      <w:pPr>
        <w:tabs>
          <w:tab w:val="left" w:pos="540"/>
        </w:tabs>
        <w:spacing w:after="240" w:line="360" w:lineRule="auto"/>
        <w:rPr>
          <w:rStyle w:val="ICBAbold"/>
          <w:b w:val="0"/>
          <w:color w:val="FF0000"/>
        </w:rPr>
      </w:pPr>
      <w:r w:rsidRPr="005F77C9">
        <w:rPr>
          <w:rStyle w:val="ICBAbold"/>
          <w:b w:val="0"/>
          <w:color w:val="FF0000"/>
        </w:rPr>
        <w:t>[ends]</w:t>
      </w:r>
      <w:bookmarkEnd w:id="0"/>
    </w:p>
    <w:p w14:paraId="2FE420BC" w14:textId="77777777" w:rsidR="002571E6" w:rsidRDefault="002571E6" w:rsidP="004541DC">
      <w:pPr>
        <w:tabs>
          <w:tab w:val="left" w:pos="540"/>
        </w:tabs>
        <w:spacing w:after="240" w:line="360" w:lineRule="auto"/>
        <w:rPr>
          <w:rStyle w:val="ICBAbold"/>
          <w:b w:val="0"/>
          <w:color w:val="FF0000"/>
        </w:rPr>
      </w:pPr>
    </w:p>
    <w:p w14:paraId="1E873173" w14:textId="5B263F41" w:rsidR="00F156C0" w:rsidRDefault="00F156C0" w:rsidP="007137E8">
      <w:pPr>
        <w:tabs>
          <w:tab w:val="left" w:pos="540"/>
        </w:tabs>
        <w:spacing w:after="240" w:line="360" w:lineRule="auto"/>
        <w:rPr>
          <w:rStyle w:val="ICBAbold"/>
          <w:b w:val="0"/>
          <w:color w:val="FF0000"/>
        </w:rPr>
      </w:pPr>
      <w:r>
        <w:rPr>
          <w:rStyle w:val="ICBAbold"/>
          <w:b w:val="0"/>
          <w:color w:val="FF0000"/>
        </w:rPr>
        <w:t xml:space="preserve">[sidebar] </w:t>
      </w:r>
      <w:r w:rsidRPr="007521D7">
        <w:rPr>
          <w:rStyle w:val="ICBAbold"/>
        </w:rPr>
        <w:t>Education on tap</w:t>
      </w:r>
    </w:p>
    <w:p w14:paraId="65557C19" w14:textId="4D15D898" w:rsidR="007137E8" w:rsidRPr="00FB4E3D" w:rsidRDefault="007137E8" w:rsidP="007137E8">
      <w:pPr>
        <w:tabs>
          <w:tab w:val="left" w:pos="540"/>
        </w:tabs>
        <w:spacing w:after="240" w:line="360" w:lineRule="auto"/>
        <w:rPr>
          <w:rStyle w:val="ICBAbold"/>
        </w:rPr>
      </w:pPr>
      <w:r w:rsidRPr="00FB4E3D">
        <w:rPr>
          <w:rStyle w:val="ICBAbold"/>
        </w:rPr>
        <w:t xml:space="preserve">Live Community </w:t>
      </w:r>
      <w:r w:rsidR="00FB4E3D" w:rsidRPr="00FB4E3D">
        <w:rPr>
          <w:rStyle w:val="ICBAbold"/>
        </w:rPr>
        <w:t>B</w:t>
      </w:r>
      <w:r w:rsidRPr="00FB4E3D">
        <w:rPr>
          <w:rStyle w:val="ICBAbold"/>
        </w:rPr>
        <w:t xml:space="preserve">ank </w:t>
      </w:r>
      <w:r w:rsidR="00FB4E3D" w:rsidRPr="00FB4E3D">
        <w:rPr>
          <w:rStyle w:val="ICBAbold"/>
        </w:rPr>
        <w:t>C</w:t>
      </w:r>
      <w:r w:rsidRPr="00FB4E3D">
        <w:rPr>
          <w:rStyle w:val="ICBAbold"/>
        </w:rPr>
        <w:t>onferen</w:t>
      </w:r>
      <w:r w:rsidR="00FB4E3D" w:rsidRPr="00FB4E3D">
        <w:rPr>
          <w:rStyle w:val="ICBAbold"/>
        </w:rPr>
        <w:t>ce series</w:t>
      </w:r>
    </w:p>
    <w:p w14:paraId="328776CA" w14:textId="248B4E2A" w:rsidR="00105114" w:rsidRPr="00105114" w:rsidRDefault="00105114" w:rsidP="004541DC">
      <w:pPr>
        <w:spacing w:after="240" w:line="360" w:lineRule="auto"/>
      </w:pPr>
      <w:r w:rsidRPr="00105114">
        <w:t xml:space="preserve">ICBA Securities and its exclusive broker </w:t>
      </w:r>
      <w:r w:rsidR="00FB4E3D">
        <w:t>Stifel</w:t>
      </w:r>
      <w:r w:rsidRPr="00105114">
        <w:t xml:space="preserve"> </w:t>
      </w:r>
      <w:r w:rsidR="00FB4E3D">
        <w:t>are presenting half-day conferences in several locations in upcoming months. We will be in Boston May 2</w:t>
      </w:r>
      <w:r w:rsidR="002571E6">
        <w:t>;</w:t>
      </w:r>
      <w:r w:rsidR="00FB4E3D">
        <w:t xml:space="preserve"> Kansas City</w:t>
      </w:r>
      <w:r w:rsidR="0089527B">
        <w:t>, Mo.</w:t>
      </w:r>
      <w:r w:rsidR="002B36B4">
        <w:t>,</w:t>
      </w:r>
      <w:r w:rsidR="00FB4E3D">
        <w:t xml:space="preserve"> May 10</w:t>
      </w:r>
      <w:r w:rsidR="002571E6">
        <w:t>;</w:t>
      </w:r>
      <w:r w:rsidR="00FB4E3D">
        <w:t xml:space="preserve"> Denver June 21</w:t>
      </w:r>
      <w:r w:rsidR="002571E6">
        <w:t>;</w:t>
      </w:r>
      <w:r w:rsidR="00FB4E3D">
        <w:t xml:space="preserve"> and Atlanta June 27. There is no cost to attend, and CPE credit is offered. </w:t>
      </w:r>
      <w:r w:rsidRPr="00105114">
        <w:t xml:space="preserve">To register, visit </w:t>
      </w:r>
      <w:r w:rsidR="00892B69">
        <w:t>&lt;</w:t>
      </w:r>
      <w:proofErr w:type="spellStart"/>
      <w:r w:rsidR="00892B69">
        <w:t>i</w:t>
      </w:r>
      <w:proofErr w:type="spellEnd"/>
      <w:r w:rsidR="00892B69">
        <w:t>&gt;</w:t>
      </w:r>
      <w:r w:rsidR="00CB139A" w:rsidRPr="00F1711A">
        <w:rPr>
          <w:b/>
          <w:bCs/>
          <w:i/>
          <w:color w:val="0000FF"/>
          <w:u w:val="single"/>
        </w:rPr>
        <w:t>icbasecurities.com</w:t>
      </w:r>
      <w:r w:rsidR="00892B69">
        <w:t>&lt;</w:t>
      </w:r>
      <w:proofErr w:type="spellStart"/>
      <w:r w:rsidR="00892B69">
        <w:t>i</w:t>
      </w:r>
      <w:proofErr w:type="spellEnd"/>
      <w:r w:rsidR="00892B69">
        <w:t>&gt;</w:t>
      </w:r>
    </w:p>
    <w:p w14:paraId="22EC71E6" w14:textId="63DA4331" w:rsidR="00570D5C" w:rsidRDefault="00570D5C" w:rsidP="004541DC">
      <w:pPr>
        <w:spacing w:after="240" w:line="360" w:lineRule="auto"/>
        <w:rPr>
          <w:rStyle w:val="ICBAbold"/>
          <w:b w:val="0"/>
          <w:bCs/>
        </w:rPr>
      </w:pPr>
    </w:p>
    <w:p w14:paraId="77315CAE" w14:textId="4C7687C9" w:rsidR="005D3456" w:rsidRPr="005D3456" w:rsidRDefault="00005DC2" w:rsidP="004541DC">
      <w:pPr>
        <w:spacing w:line="360" w:lineRule="auto"/>
        <w:outlineLvl w:val="0"/>
      </w:pPr>
      <w:r>
        <w:rPr>
          <w:b/>
        </w:rPr>
        <w:t>Banking school in May</w:t>
      </w:r>
    </w:p>
    <w:p w14:paraId="1C618BE7" w14:textId="419A57B8" w:rsidR="0089527B" w:rsidRDefault="00005DC2" w:rsidP="004541DC">
      <w:pPr>
        <w:spacing w:after="240" w:line="360" w:lineRule="auto"/>
        <w:rPr>
          <w:rStyle w:val="ICBAbold"/>
          <w:b w:val="0"/>
          <w:bCs/>
        </w:rPr>
      </w:pPr>
      <w:r>
        <w:rPr>
          <w:rStyle w:val="ICBAbold"/>
          <w:b w:val="0"/>
          <w:bCs/>
        </w:rPr>
        <w:t xml:space="preserve">ICBA’s endorsed banking school, Barret Graduate School of Banking, </w:t>
      </w:r>
      <w:r w:rsidR="005619E0">
        <w:rPr>
          <w:rStyle w:val="ICBAbold"/>
          <w:b w:val="0"/>
          <w:bCs/>
        </w:rPr>
        <w:t>hosts its 51</w:t>
      </w:r>
      <w:r w:rsidR="005619E0" w:rsidRPr="005619E0">
        <w:rPr>
          <w:rStyle w:val="ICBAbold"/>
          <w:b w:val="0"/>
          <w:bCs/>
          <w:vertAlign w:val="superscript"/>
        </w:rPr>
        <w:t>st</w:t>
      </w:r>
      <w:r w:rsidR="005619E0">
        <w:rPr>
          <w:rStyle w:val="ICBAbold"/>
          <w:b w:val="0"/>
          <w:bCs/>
        </w:rPr>
        <w:t xml:space="preserve"> session in Memphis, Tenn.</w:t>
      </w:r>
      <w:r w:rsidR="002571E6">
        <w:rPr>
          <w:rStyle w:val="ICBAbold"/>
          <w:b w:val="0"/>
          <w:bCs/>
        </w:rPr>
        <w:t>, from</w:t>
      </w:r>
      <w:r w:rsidR="005619E0">
        <w:rPr>
          <w:rStyle w:val="ICBAbold"/>
          <w:b w:val="0"/>
          <w:bCs/>
        </w:rPr>
        <w:t xml:space="preserve"> May 21</w:t>
      </w:r>
      <w:r w:rsidR="002571E6">
        <w:rPr>
          <w:rStyle w:val="ICBAbold"/>
          <w:b w:val="0"/>
          <w:bCs/>
        </w:rPr>
        <w:t>–</w:t>
      </w:r>
      <w:r w:rsidR="005619E0">
        <w:rPr>
          <w:rStyle w:val="ICBAbold"/>
          <w:b w:val="0"/>
          <w:bCs/>
        </w:rPr>
        <w:t xml:space="preserve">26. ICBA’s </w:t>
      </w:r>
      <w:r w:rsidR="002B36B4">
        <w:rPr>
          <w:rStyle w:val="ICBAbold"/>
          <w:b w:val="0"/>
          <w:bCs/>
        </w:rPr>
        <w:t>c</w:t>
      </w:r>
      <w:r w:rsidR="005619E0">
        <w:rPr>
          <w:rStyle w:val="ICBAbold"/>
          <w:b w:val="0"/>
          <w:bCs/>
        </w:rPr>
        <w:t xml:space="preserve">hief </w:t>
      </w:r>
      <w:r w:rsidR="002B36B4">
        <w:rPr>
          <w:rStyle w:val="ICBAbold"/>
          <w:b w:val="0"/>
          <w:bCs/>
        </w:rPr>
        <w:t>l</w:t>
      </w:r>
      <w:r w:rsidR="005619E0">
        <w:rPr>
          <w:rStyle w:val="ICBAbold"/>
          <w:b w:val="0"/>
          <w:bCs/>
        </w:rPr>
        <w:t xml:space="preserve">earning and </w:t>
      </w:r>
      <w:r w:rsidR="002B36B4">
        <w:rPr>
          <w:rStyle w:val="ICBAbold"/>
          <w:b w:val="0"/>
          <w:bCs/>
        </w:rPr>
        <w:t>e</w:t>
      </w:r>
      <w:r w:rsidR="005619E0">
        <w:rPr>
          <w:rStyle w:val="ICBAbold"/>
          <w:b w:val="0"/>
          <w:bCs/>
        </w:rPr>
        <w:t xml:space="preserve">xperience </w:t>
      </w:r>
      <w:r w:rsidR="002B36B4">
        <w:rPr>
          <w:rStyle w:val="ICBAbold"/>
          <w:b w:val="0"/>
          <w:bCs/>
        </w:rPr>
        <w:t>o</w:t>
      </w:r>
      <w:r w:rsidR="005619E0">
        <w:rPr>
          <w:rStyle w:val="ICBAbold"/>
          <w:b w:val="0"/>
          <w:bCs/>
        </w:rPr>
        <w:t xml:space="preserve">fficer Lindsay </w:t>
      </w:r>
      <w:proofErr w:type="spellStart"/>
      <w:r w:rsidR="005619E0">
        <w:rPr>
          <w:rStyle w:val="ICBAbold"/>
          <w:b w:val="0"/>
          <w:bCs/>
        </w:rPr>
        <w:t>LaNore</w:t>
      </w:r>
      <w:proofErr w:type="spellEnd"/>
      <w:r w:rsidR="005619E0">
        <w:rPr>
          <w:rStyle w:val="ICBAbold"/>
          <w:b w:val="0"/>
          <w:bCs/>
        </w:rPr>
        <w:t xml:space="preserve"> and ICBA Securities </w:t>
      </w:r>
      <w:r w:rsidR="002B36B4">
        <w:rPr>
          <w:rStyle w:val="ICBAbold"/>
          <w:b w:val="0"/>
          <w:bCs/>
        </w:rPr>
        <w:t>p</w:t>
      </w:r>
      <w:r w:rsidR="005619E0">
        <w:rPr>
          <w:rStyle w:val="ICBAbold"/>
          <w:b w:val="0"/>
          <w:bCs/>
        </w:rPr>
        <w:t xml:space="preserve">resident/CEO Jim Reber are members of Barret’s faculty. </w:t>
      </w:r>
      <w:r w:rsidR="0089527B">
        <w:rPr>
          <w:rStyle w:val="ICBAbold"/>
          <w:b w:val="0"/>
          <w:bCs/>
        </w:rPr>
        <w:t>For more information or to register</w:t>
      </w:r>
      <w:r w:rsidR="002571E6">
        <w:rPr>
          <w:rStyle w:val="ICBAbold"/>
          <w:b w:val="0"/>
          <w:bCs/>
        </w:rPr>
        <w:t xml:space="preserve">, </w:t>
      </w:r>
      <w:r w:rsidR="0089527B">
        <w:rPr>
          <w:rStyle w:val="ICBAbold"/>
          <w:b w:val="0"/>
          <w:bCs/>
        </w:rPr>
        <w:t xml:space="preserve">visit </w:t>
      </w:r>
      <w:r w:rsidR="0089527B" w:rsidRPr="0089527B">
        <w:rPr>
          <w:rStyle w:val="ICBAbold"/>
          <w:bCs/>
          <w:i/>
          <w:color w:val="0000FF"/>
          <w:u w:val="single"/>
        </w:rPr>
        <w:t>barretbanking.org</w:t>
      </w:r>
    </w:p>
    <w:p w14:paraId="4C4B4509" w14:textId="6DE52D3D" w:rsidR="001B72C6" w:rsidRDefault="005D3456" w:rsidP="004541DC">
      <w:pPr>
        <w:spacing w:after="240" w:line="360" w:lineRule="auto"/>
        <w:rPr>
          <w:rStyle w:val="ICBAbold"/>
          <w:b w:val="0"/>
          <w:color w:val="FF0000"/>
        </w:rPr>
      </w:pPr>
      <w:r>
        <w:rPr>
          <w:rStyle w:val="ICBAbold"/>
          <w:b w:val="0"/>
          <w:color w:val="FF0000"/>
        </w:rPr>
        <w:t xml:space="preserve"> </w:t>
      </w:r>
      <w:r w:rsidR="00B6481B">
        <w:rPr>
          <w:rStyle w:val="ICBAbold"/>
          <w:b w:val="0"/>
          <w:color w:val="FF0000"/>
        </w:rPr>
        <w:t>[sidebar ends]</w:t>
      </w:r>
    </w:p>
    <w:p w14:paraId="10C48871" w14:textId="77777777" w:rsidR="00894E12" w:rsidRDefault="00894E12" w:rsidP="004541DC">
      <w:pPr>
        <w:spacing w:after="240" w:line="360" w:lineRule="auto"/>
        <w:rPr>
          <w:rStyle w:val="ICBAbold"/>
          <w:b w:val="0"/>
          <w:color w:val="FF0000"/>
        </w:rPr>
      </w:pPr>
    </w:p>
    <w:p w14:paraId="5F73B771" w14:textId="4EB88E69" w:rsidR="005B369E" w:rsidRDefault="005B369E" w:rsidP="004541DC">
      <w:pPr>
        <w:spacing w:after="240" w:line="360" w:lineRule="auto"/>
        <w:rPr>
          <w:rStyle w:val="ICBAbold"/>
          <w:b w:val="0"/>
          <w:color w:val="FF0000"/>
        </w:rPr>
      </w:pPr>
      <w:r>
        <w:rPr>
          <w:rStyle w:val="ICBAbold"/>
          <w:b w:val="0"/>
          <w:color w:val="FF0000"/>
        </w:rPr>
        <w:t>[pull quote]</w:t>
      </w:r>
    </w:p>
    <w:p w14:paraId="193C42B1" w14:textId="4128CC7E" w:rsidR="004B3C1F" w:rsidRDefault="004B3C1F" w:rsidP="004541DC">
      <w:pPr>
        <w:spacing w:after="240" w:line="360" w:lineRule="auto"/>
        <w:rPr>
          <w:rStyle w:val="ICBAbold"/>
          <w:b w:val="0"/>
          <w:color w:val="FF0000"/>
        </w:rPr>
      </w:pPr>
      <w:r>
        <w:t>“In 2023</w:t>
      </w:r>
      <w:r w:rsidR="002571E6">
        <w:t>,</w:t>
      </w:r>
      <w:r>
        <w:t xml:space="preserve"> a number of securities that fall into the non-complex category are also among the higher yielding; specifically, government agency bonds.”</w:t>
      </w:r>
    </w:p>
    <w:sectPr w:rsidR="004B3C1F"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93236070">
    <w:abstractNumId w:val="31"/>
  </w:num>
  <w:num w:numId="2" w16cid:durableId="95100574">
    <w:abstractNumId w:val="19"/>
  </w:num>
  <w:num w:numId="3" w16cid:durableId="1601601495">
    <w:abstractNumId w:val="16"/>
  </w:num>
  <w:num w:numId="4" w16cid:durableId="776488953">
    <w:abstractNumId w:val="34"/>
  </w:num>
  <w:num w:numId="5" w16cid:durableId="1066030409">
    <w:abstractNumId w:val="13"/>
  </w:num>
  <w:num w:numId="6" w16cid:durableId="1688755378">
    <w:abstractNumId w:val="26"/>
  </w:num>
  <w:num w:numId="7" w16cid:durableId="4791200">
    <w:abstractNumId w:val="23"/>
  </w:num>
  <w:num w:numId="8" w16cid:durableId="317465698">
    <w:abstractNumId w:val="0"/>
  </w:num>
  <w:num w:numId="9" w16cid:durableId="1259750019">
    <w:abstractNumId w:val="24"/>
  </w:num>
  <w:num w:numId="10" w16cid:durableId="895160918">
    <w:abstractNumId w:val="8"/>
  </w:num>
  <w:num w:numId="11" w16cid:durableId="1513835318">
    <w:abstractNumId w:val="27"/>
  </w:num>
  <w:num w:numId="12" w16cid:durableId="23479237">
    <w:abstractNumId w:val="28"/>
  </w:num>
  <w:num w:numId="13" w16cid:durableId="1901751014">
    <w:abstractNumId w:val="18"/>
  </w:num>
  <w:num w:numId="14" w16cid:durableId="1372993590">
    <w:abstractNumId w:val="32"/>
  </w:num>
  <w:num w:numId="15" w16cid:durableId="359205696">
    <w:abstractNumId w:val="21"/>
  </w:num>
  <w:num w:numId="16" w16cid:durableId="521090899">
    <w:abstractNumId w:val="11"/>
  </w:num>
  <w:num w:numId="17" w16cid:durableId="1940723542">
    <w:abstractNumId w:val="25"/>
  </w:num>
  <w:num w:numId="18" w16cid:durableId="461580575">
    <w:abstractNumId w:val="15"/>
  </w:num>
  <w:num w:numId="19" w16cid:durableId="1241519405">
    <w:abstractNumId w:val="3"/>
  </w:num>
  <w:num w:numId="20" w16cid:durableId="1123379645">
    <w:abstractNumId w:val="5"/>
  </w:num>
  <w:num w:numId="21" w16cid:durableId="677922519">
    <w:abstractNumId w:val="30"/>
  </w:num>
  <w:num w:numId="22" w16cid:durableId="372458662">
    <w:abstractNumId w:val="20"/>
  </w:num>
  <w:num w:numId="23" w16cid:durableId="477504097">
    <w:abstractNumId w:val="7"/>
  </w:num>
  <w:num w:numId="24" w16cid:durableId="931209052">
    <w:abstractNumId w:val="12"/>
  </w:num>
  <w:num w:numId="25" w16cid:durableId="78867376">
    <w:abstractNumId w:val="14"/>
  </w:num>
  <w:num w:numId="26" w16cid:durableId="669914556">
    <w:abstractNumId w:val="17"/>
  </w:num>
  <w:num w:numId="27" w16cid:durableId="2131512926">
    <w:abstractNumId w:val="33"/>
  </w:num>
  <w:num w:numId="28" w16cid:durableId="1262638957">
    <w:abstractNumId w:val="6"/>
  </w:num>
  <w:num w:numId="29" w16cid:durableId="1370378717">
    <w:abstractNumId w:val="1"/>
  </w:num>
  <w:num w:numId="30" w16cid:durableId="1543128293">
    <w:abstractNumId w:val="10"/>
  </w:num>
  <w:num w:numId="31" w16cid:durableId="133526065">
    <w:abstractNumId w:val="22"/>
  </w:num>
  <w:num w:numId="32" w16cid:durableId="1674066188">
    <w:abstractNumId w:val="29"/>
  </w:num>
  <w:num w:numId="33" w16cid:durableId="2089695617">
    <w:abstractNumId w:val="9"/>
  </w:num>
  <w:num w:numId="34" w16cid:durableId="1449544124">
    <w:abstractNumId w:val="2"/>
  </w:num>
  <w:num w:numId="35" w16cid:durableId="38183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1F82"/>
    <w:rsid w:val="00002453"/>
    <w:rsid w:val="00002F33"/>
    <w:rsid w:val="000047F9"/>
    <w:rsid w:val="000057FC"/>
    <w:rsid w:val="00005900"/>
    <w:rsid w:val="00005DC2"/>
    <w:rsid w:val="00007110"/>
    <w:rsid w:val="000076DD"/>
    <w:rsid w:val="00007AEB"/>
    <w:rsid w:val="0001238A"/>
    <w:rsid w:val="000136D3"/>
    <w:rsid w:val="00013A2D"/>
    <w:rsid w:val="00013AB6"/>
    <w:rsid w:val="000154A5"/>
    <w:rsid w:val="00015A62"/>
    <w:rsid w:val="00015F32"/>
    <w:rsid w:val="00016B59"/>
    <w:rsid w:val="00016F70"/>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5D2"/>
    <w:rsid w:val="00041DC0"/>
    <w:rsid w:val="000428F3"/>
    <w:rsid w:val="00042B0A"/>
    <w:rsid w:val="000439DA"/>
    <w:rsid w:val="000447C0"/>
    <w:rsid w:val="00044D01"/>
    <w:rsid w:val="00045325"/>
    <w:rsid w:val="00046845"/>
    <w:rsid w:val="00046C83"/>
    <w:rsid w:val="00047077"/>
    <w:rsid w:val="00047FCB"/>
    <w:rsid w:val="000507C7"/>
    <w:rsid w:val="00050965"/>
    <w:rsid w:val="00050B4F"/>
    <w:rsid w:val="00050EA0"/>
    <w:rsid w:val="00050FE0"/>
    <w:rsid w:val="000518AE"/>
    <w:rsid w:val="000519F2"/>
    <w:rsid w:val="000533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679DF"/>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558"/>
    <w:rsid w:val="000A6B2C"/>
    <w:rsid w:val="000B055B"/>
    <w:rsid w:val="000B0972"/>
    <w:rsid w:val="000B0B4C"/>
    <w:rsid w:val="000B179F"/>
    <w:rsid w:val="000B1C44"/>
    <w:rsid w:val="000B3260"/>
    <w:rsid w:val="000B3652"/>
    <w:rsid w:val="000B496F"/>
    <w:rsid w:val="000B57FE"/>
    <w:rsid w:val="000B5879"/>
    <w:rsid w:val="000B6AF6"/>
    <w:rsid w:val="000B6C8E"/>
    <w:rsid w:val="000B758B"/>
    <w:rsid w:val="000C041B"/>
    <w:rsid w:val="000C0D94"/>
    <w:rsid w:val="000C2C51"/>
    <w:rsid w:val="000C2E96"/>
    <w:rsid w:val="000C3129"/>
    <w:rsid w:val="000C3167"/>
    <w:rsid w:val="000C40B1"/>
    <w:rsid w:val="000C5840"/>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114"/>
    <w:rsid w:val="0010563C"/>
    <w:rsid w:val="0010723E"/>
    <w:rsid w:val="00107EE1"/>
    <w:rsid w:val="00111E18"/>
    <w:rsid w:val="00111E48"/>
    <w:rsid w:val="00112931"/>
    <w:rsid w:val="0011297C"/>
    <w:rsid w:val="00113738"/>
    <w:rsid w:val="001137B7"/>
    <w:rsid w:val="0011439A"/>
    <w:rsid w:val="00114B3D"/>
    <w:rsid w:val="001151E4"/>
    <w:rsid w:val="00115557"/>
    <w:rsid w:val="00115BD7"/>
    <w:rsid w:val="001162C0"/>
    <w:rsid w:val="00117469"/>
    <w:rsid w:val="00117E2E"/>
    <w:rsid w:val="00120042"/>
    <w:rsid w:val="001204C1"/>
    <w:rsid w:val="00121494"/>
    <w:rsid w:val="00121F17"/>
    <w:rsid w:val="00121FD6"/>
    <w:rsid w:val="00122B22"/>
    <w:rsid w:val="00122C36"/>
    <w:rsid w:val="001231BD"/>
    <w:rsid w:val="00124663"/>
    <w:rsid w:val="001246D8"/>
    <w:rsid w:val="00124A74"/>
    <w:rsid w:val="00124BBE"/>
    <w:rsid w:val="00125072"/>
    <w:rsid w:val="00125E3C"/>
    <w:rsid w:val="00127461"/>
    <w:rsid w:val="00130378"/>
    <w:rsid w:val="00131AD0"/>
    <w:rsid w:val="00131D76"/>
    <w:rsid w:val="00132692"/>
    <w:rsid w:val="00133406"/>
    <w:rsid w:val="00135803"/>
    <w:rsid w:val="001365E8"/>
    <w:rsid w:val="0013690B"/>
    <w:rsid w:val="00136CB5"/>
    <w:rsid w:val="00136DE6"/>
    <w:rsid w:val="00136DFC"/>
    <w:rsid w:val="00137144"/>
    <w:rsid w:val="00137AF8"/>
    <w:rsid w:val="00137B1F"/>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205"/>
    <w:rsid w:val="001633EC"/>
    <w:rsid w:val="00163CF2"/>
    <w:rsid w:val="00163E29"/>
    <w:rsid w:val="001645E7"/>
    <w:rsid w:val="001647C7"/>
    <w:rsid w:val="00164B44"/>
    <w:rsid w:val="00164CE2"/>
    <w:rsid w:val="00164D77"/>
    <w:rsid w:val="001663A5"/>
    <w:rsid w:val="0016663E"/>
    <w:rsid w:val="0016679B"/>
    <w:rsid w:val="00167A04"/>
    <w:rsid w:val="00170A04"/>
    <w:rsid w:val="00170ED9"/>
    <w:rsid w:val="0017194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1C0B"/>
    <w:rsid w:val="00182318"/>
    <w:rsid w:val="0018379F"/>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123E"/>
    <w:rsid w:val="001A24A6"/>
    <w:rsid w:val="001A3102"/>
    <w:rsid w:val="001A464B"/>
    <w:rsid w:val="001A468B"/>
    <w:rsid w:val="001A49E8"/>
    <w:rsid w:val="001A5B81"/>
    <w:rsid w:val="001A5E9A"/>
    <w:rsid w:val="001A7796"/>
    <w:rsid w:val="001B04B5"/>
    <w:rsid w:val="001B13A0"/>
    <w:rsid w:val="001B1862"/>
    <w:rsid w:val="001B1BAC"/>
    <w:rsid w:val="001B2008"/>
    <w:rsid w:val="001B27D6"/>
    <w:rsid w:val="001B2FFA"/>
    <w:rsid w:val="001B3216"/>
    <w:rsid w:val="001B355F"/>
    <w:rsid w:val="001B4397"/>
    <w:rsid w:val="001B4AF1"/>
    <w:rsid w:val="001B4D1A"/>
    <w:rsid w:val="001B4EE0"/>
    <w:rsid w:val="001B612B"/>
    <w:rsid w:val="001B6A58"/>
    <w:rsid w:val="001B72C6"/>
    <w:rsid w:val="001B7A03"/>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6D44"/>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3AD"/>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3FB9"/>
    <w:rsid w:val="002054F1"/>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3EC8"/>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0CF7"/>
    <w:rsid w:val="00251BC7"/>
    <w:rsid w:val="00251D0F"/>
    <w:rsid w:val="002525C7"/>
    <w:rsid w:val="00252BA7"/>
    <w:rsid w:val="00253020"/>
    <w:rsid w:val="00253731"/>
    <w:rsid w:val="00253E77"/>
    <w:rsid w:val="00254A8C"/>
    <w:rsid w:val="002552E4"/>
    <w:rsid w:val="0025596B"/>
    <w:rsid w:val="00255B1E"/>
    <w:rsid w:val="00255BEA"/>
    <w:rsid w:val="00256ABD"/>
    <w:rsid w:val="00256FD3"/>
    <w:rsid w:val="002571E6"/>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59C"/>
    <w:rsid w:val="00272D2A"/>
    <w:rsid w:val="00273B9A"/>
    <w:rsid w:val="00274010"/>
    <w:rsid w:val="002743E5"/>
    <w:rsid w:val="00274F6B"/>
    <w:rsid w:val="0027549E"/>
    <w:rsid w:val="00276AD9"/>
    <w:rsid w:val="00277F2B"/>
    <w:rsid w:val="00277F53"/>
    <w:rsid w:val="00277F7F"/>
    <w:rsid w:val="00280067"/>
    <w:rsid w:val="00280443"/>
    <w:rsid w:val="0028208D"/>
    <w:rsid w:val="002825D6"/>
    <w:rsid w:val="0028294C"/>
    <w:rsid w:val="00282FE5"/>
    <w:rsid w:val="00283154"/>
    <w:rsid w:val="00283F95"/>
    <w:rsid w:val="002846EB"/>
    <w:rsid w:val="0028490C"/>
    <w:rsid w:val="00284A49"/>
    <w:rsid w:val="00284FB2"/>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6FC"/>
    <w:rsid w:val="00296EEA"/>
    <w:rsid w:val="0029771B"/>
    <w:rsid w:val="0029790A"/>
    <w:rsid w:val="00297D20"/>
    <w:rsid w:val="002A10DA"/>
    <w:rsid w:val="002A1EAF"/>
    <w:rsid w:val="002A217E"/>
    <w:rsid w:val="002A3723"/>
    <w:rsid w:val="002A4A40"/>
    <w:rsid w:val="002A51E8"/>
    <w:rsid w:val="002A6110"/>
    <w:rsid w:val="002A6BC7"/>
    <w:rsid w:val="002B36B4"/>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2AEA"/>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0D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23E"/>
    <w:rsid w:val="00304440"/>
    <w:rsid w:val="003044D2"/>
    <w:rsid w:val="00304527"/>
    <w:rsid w:val="00304791"/>
    <w:rsid w:val="00304811"/>
    <w:rsid w:val="00304E0F"/>
    <w:rsid w:val="00305081"/>
    <w:rsid w:val="003052BE"/>
    <w:rsid w:val="0030587A"/>
    <w:rsid w:val="003070D1"/>
    <w:rsid w:val="003074F8"/>
    <w:rsid w:val="00307623"/>
    <w:rsid w:val="00307D86"/>
    <w:rsid w:val="00307EE8"/>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6CE6"/>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79A"/>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1F4"/>
    <w:rsid w:val="0035660F"/>
    <w:rsid w:val="00356C5B"/>
    <w:rsid w:val="003573A6"/>
    <w:rsid w:val="00357931"/>
    <w:rsid w:val="00361151"/>
    <w:rsid w:val="00361D81"/>
    <w:rsid w:val="00362275"/>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44FD"/>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1F2"/>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9715A"/>
    <w:rsid w:val="003A0727"/>
    <w:rsid w:val="003A09CB"/>
    <w:rsid w:val="003A0FC9"/>
    <w:rsid w:val="003A114E"/>
    <w:rsid w:val="003A1A95"/>
    <w:rsid w:val="003A25A3"/>
    <w:rsid w:val="003A415B"/>
    <w:rsid w:val="003A6101"/>
    <w:rsid w:val="003A7044"/>
    <w:rsid w:val="003B0385"/>
    <w:rsid w:val="003B09EF"/>
    <w:rsid w:val="003B138B"/>
    <w:rsid w:val="003B19B8"/>
    <w:rsid w:val="003B4158"/>
    <w:rsid w:val="003B45DA"/>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25EF"/>
    <w:rsid w:val="00404097"/>
    <w:rsid w:val="00404159"/>
    <w:rsid w:val="0040427A"/>
    <w:rsid w:val="0040427E"/>
    <w:rsid w:val="00405743"/>
    <w:rsid w:val="0040575E"/>
    <w:rsid w:val="00405E38"/>
    <w:rsid w:val="004065D9"/>
    <w:rsid w:val="0040685D"/>
    <w:rsid w:val="004073B1"/>
    <w:rsid w:val="00407B5F"/>
    <w:rsid w:val="00410121"/>
    <w:rsid w:val="0041024A"/>
    <w:rsid w:val="00410960"/>
    <w:rsid w:val="00410AA4"/>
    <w:rsid w:val="0041123D"/>
    <w:rsid w:val="00411958"/>
    <w:rsid w:val="00411CAA"/>
    <w:rsid w:val="0041308E"/>
    <w:rsid w:val="004142F2"/>
    <w:rsid w:val="00415378"/>
    <w:rsid w:val="0041768B"/>
    <w:rsid w:val="004178F6"/>
    <w:rsid w:val="00417B79"/>
    <w:rsid w:val="0042017D"/>
    <w:rsid w:val="0042264D"/>
    <w:rsid w:val="0042276C"/>
    <w:rsid w:val="00422E64"/>
    <w:rsid w:val="0042343D"/>
    <w:rsid w:val="0042420B"/>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1DC"/>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63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2C6"/>
    <w:rsid w:val="00482657"/>
    <w:rsid w:val="00483282"/>
    <w:rsid w:val="00483345"/>
    <w:rsid w:val="004833D7"/>
    <w:rsid w:val="004840EF"/>
    <w:rsid w:val="00485D67"/>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412"/>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C0F"/>
    <w:rsid w:val="004B2D52"/>
    <w:rsid w:val="004B2F82"/>
    <w:rsid w:val="004B3550"/>
    <w:rsid w:val="004B3C1F"/>
    <w:rsid w:val="004B5849"/>
    <w:rsid w:val="004B5AFE"/>
    <w:rsid w:val="004B5E2A"/>
    <w:rsid w:val="004B6A11"/>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267B"/>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D05"/>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004"/>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189E"/>
    <w:rsid w:val="005619E0"/>
    <w:rsid w:val="005643D7"/>
    <w:rsid w:val="00564869"/>
    <w:rsid w:val="00565709"/>
    <w:rsid w:val="00565BBB"/>
    <w:rsid w:val="00566100"/>
    <w:rsid w:val="00566585"/>
    <w:rsid w:val="00567661"/>
    <w:rsid w:val="0057062A"/>
    <w:rsid w:val="00570D5C"/>
    <w:rsid w:val="00570EF8"/>
    <w:rsid w:val="005711EE"/>
    <w:rsid w:val="00571237"/>
    <w:rsid w:val="005712F8"/>
    <w:rsid w:val="0057149F"/>
    <w:rsid w:val="00571B88"/>
    <w:rsid w:val="00572C01"/>
    <w:rsid w:val="00572DB0"/>
    <w:rsid w:val="00573723"/>
    <w:rsid w:val="005749E3"/>
    <w:rsid w:val="005749EE"/>
    <w:rsid w:val="00575C10"/>
    <w:rsid w:val="00575C8D"/>
    <w:rsid w:val="00576737"/>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2C77"/>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2924"/>
    <w:rsid w:val="005B369E"/>
    <w:rsid w:val="005B375B"/>
    <w:rsid w:val="005B428F"/>
    <w:rsid w:val="005B457C"/>
    <w:rsid w:val="005B4DD4"/>
    <w:rsid w:val="005B5000"/>
    <w:rsid w:val="005B5233"/>
    <w:rsid w:val="005C05BE"/>
    <w:rsid w:val="005C095D"/>
    <w:rsid w:val="005C1F1E"/>
    <w:rsid w:val="005C28A4"/>
    <w:rsid w:val="005C29E9"/>
    <w:rsid w:val="005C2D8F"/>
    <w:rsid w:val="005C3D4F"/>
    <w:rsid w:val="005C3D8F"/>
    <w:rsid w:val="005C4181"/>
    <w:rsid w:val="005C4E6B"/>
    <w:rsid w:val="005C56CB"/>
    <w:rsid w:val="005C5B21"/>
    <w:rsid w:val="005C612F"/>
    <w:rsid w:val="005D0331"/>
    <w:rsid w:val="005D0714"/>
    <w:rsid w:val="005D0805"/>
    <w:rsid w:val="005D0979"/>
    <w:rsid w:val="005D10E6"/>
    <w:rsid w:val="005D14FA"/>
    <w:rsid w:val="005D21F7"/>
    <w:rsid w:val="005D30E1"/>
    <w:rsid w:val="005D3456"/>
    <w:rsid w:val="005D3DD8"/>
    <w:rsid w:val="005D47CE"/>
    <w:rsid w:val="005D4C61"/>
    <w:rsid w:val="005D5305"/>
    <w:rsid w:val="005D5B4F"/>
    <w:rsid w:val="005D63B3"/>
    <w:rsid w:val="005D63D1"/>
    <w:rsid w:val="005D69C4"/>
    <w:rsid w:val="005D7030"/>
    <w:rsid w:val="005D776A"/>
    <w:rsid w:val="005D7C2B"/>
    <w:rsid w:val="005D7DEA"/>
    <w:rsid w:val="005E069A"/>
    <w:rsid w:val="005E0875"/>
    <w:rsid w:val="005E0C34"/>
    <w:rsid w:val="005E1BCF"/>
    <w:rsid w:val="005E2D69"/>
    <w:rsid w:val="005E2D89"/>
    <w:rsid w:val="005E3687"/>
    <w:rsid w:val="005E44D6"/>
    <w:rsid w:val="005E4C05"/>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B37"/>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2FC7"/>
    <w:rsid w:val="00623858"/>
    <w:rsid w:val="00623E90"/>
    <w:rsid w:val="0062426C"/>
    <w:rsid w:val="0062508F"/>
    <w:rsid w:val="00625350"/>
    <w:rsid w:val="0062586E"/>
    <w:rsid w:val="006265D4"/>
    <w:rsid w:val="00627A1A"/>
    <w:rsid w:val="0063111D"/>
    <w:rsid w:val="00632C81"/>
    <w:rsid w:val="0063330E"/>
    <w:rsid w:val="00633B04"/>
    <w:rsid w:val="0063595F"/>
    <w:rsid w:val="00635CD9"/>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0A5F"/>
    <w:rsid w:val="00680F17"/>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879D4"/>
    <w:rsid w:val="0069006D"/>
    <w:rsid w:val="006905A7"/>
    <w:rsid w:val="00690651"/>
    <w:rsid w:val="00690BC8"/>
    <w:rsid w:val="00691A17"/>
    <w:rsid w:val="00691CE4"/>
    <w:rsid w:val="00692335"/>
    <w:rsid w:val="0069239E"/>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4AE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224"/>
    <w:rsid w:val="006D73C9"/>
    <w:rsid w:val="006D7724"/>
    <w:rsid w:val="006D7B18"/>
    <w:rsid w:val="006E0243"/>
    <w:rsid w:val="006E033D"/>
    <w:rsid w:val="006E106F"/>
    <w:rsid w:val="006E1A9D"/>
    <w:rsid w:val="006E2032"/>
    <w:rsid w:val="006E2355"/>
    <w:rsid w:val="006E238D"/>
    <w:rsid w:val="006E23CC"/>
    <w:rsid w:val="006E2E6C"/>
    <w:rsid w:val="006E3053"/>
    <w:rsid w:val="006E3F99"/>
    <w:rsid w:val="006E41E4"/>
    <w:rsid w:val="006E423D"/>
    <w:rsid w:val="006E5431"/>
    <w:rsid w:val="006E645F"/>
    <w:rsid w:val="006E6BE7"/>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D9F"/>
    <w:rsid w:val="00702F03"/>
    <w:rsid w:val="00703134"/>
    <w:rsid w:val="007035A1"/>
    <w:rsid w:val="00704246"/>
    <w:rsid w:val="00705A6C"/>
    <w:rsid w:val="0070675E"/>
    <w:rsid w:val="00707352"/>
    <w:rsid w:val="007078F8"/>
    <w:rsid w:val="00707A7C"/>
    <w:rsid w:val="00710727"/>
    <w:rsid w:val="007120C2"/>
    <w:rsid w:val="007137E8"/>
    <w:rsid w:val="00714A5D"/>
    <w:rsid w:val="00715552"/>
    <w:rsid w:val="00717257"/>
    <w:rsid w:val="007177EA"/>
    <w:rsid w:val="00717B5D"/>
    <w:rsid w:val="00717DA3"/>
    <w:rsid w:val="00717DD7"/>
    <w:rsid w:val="007206A9"/>
    <w:rsid w:val="00720B58"/>
    <w:rsid w:val="007214D8"/>
    <w:rsid w:val="00722912"/>
    <w:rsid w:val="0072302B"/>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664"/>
    <w:rsid w:val="00746728"/>
    <w:rsid w:val="007476D1"/>
    <w:rsid w:val="00750728"/>
    <w:rsid w:val="007521D7"/>
    <w:rsid w:val="0075278D"/>
    <w:rsid w:val="0075287C"/>
    <w:rsid w:val="00752A86"/>
    <w:rsid w:val="007535A5"/>
    <w:rsid w:val="00753965"/>
    <w:rsid w:val="00753C5C"/>
    <w:rsid w:val="00755C9B"/>
    <w:rsid w:val="00755E7F"/>
    <w:rsid w:val="0075609A"/>
    <w:rsid w:val="00757130"/>
    <w:rsid w:val="007575EE"/>
    <w:rsid w:val="00757692"/>
    <w:rsid w:val="0076002B"/>
    <w:rsid w:val="0076088D"/>
    <w:rsid w:val="0076091F"/>
    <w:rsid w:val="00760B00"/>
    <w:rsid w:val="007620CB"/>
    <w:rsid w:val="0076219F"/>
    <w:rsid w:val="00762EE5"/>
    <w:rsid w:val="007633E7"/>
    <w:rsid w:val="007634B3"/>
    <w:rsid w:val="00763E4B"/>
    <w:rsid w:val="007641A8"/>
    <w:rsid w:val="007641DC"/>
    <w:rsid w:val="007645B8"/>
    <w:rsid w:val="00764BF1"/>
    <w:rsid w:val="00764F2B"/>
    <w:rsid w:val="00765922"/>
    <w:rsid w:val="00766325"/>
    <w:rsid w:val="00767436"/>
    <w:rsid w:val="007701B2"/>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761"/>
    <w:rsid w:val="007B6ACE"/>
    <w:rsid w:val="007B6C18"/>
    <w:rsid w:val="007B7377"/>
    <w:rsid w:val="007C0763"/>
    <w:rsid w:val="007C0D64"/>
    <w:rsid w:val="007C25DE"/>
    <w:rsid w:val="007C3015"/>
    <w:rsid w:val="007C36CF"/>
    <w:rsid w:val="007C3879"/>
    <w:rsid w:val="007C3B73"/>
    <w:rsid w:val="007C3F8A"/>
    <w:rsid w:val="007C433D"/>
    <w:rsid w:val="007C4889"/>
    <w:rsid w:val="007C546F"/>
    <w:rsid w:val="007C5FF3"/>
    <w:rsid w:val="007C6081"/>
    <w:rsid w:val="007C6121"/>
    <w:rsid w:val="007C666F"/>
    <w:rsid w:val="007C7441"/>
    <w:rsid w:val="007D0BC8"/>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92A"/>
    <w:rsid w:val="00811AF0"/>
    <w:rsid w:val="00812207"/>
    <w:rsid w:val="00812376"/>
    <w:rsid w:val="00812A01"/>
    <w:rsid w:val="00812D61"/>
    <w:rsid w:val="00815B66"/>
    <w:rsid w:val="00815C8E"/>
    <w:rsid w:val="008163A3"/>
    <w:rsid w:val="008164B1"/>
    <w:rsid w:val="00816DB6"/>
    <w:rsid w:val="00817BE8"/>
    <w:rsid w:val="00820166"/>
    <w:rsid w:val="008205C8"/>
    <w:rsid w:val="00820DE2"/>
    <w:rsid w:val="0082106E"/>
    <w:rsid w:val="008228D6"/>
    <w:rsid w:val="00824153"/>
    <w:rsid w:val="0082429D"/>
    <w:rsid w:val="00824CC1"/>
    <w:rsid w:val="008251CF"/>
    <w:rsid w:val="0082520E"/>
    <w:rsid w:val="0082642C"/>
    <w:rsid w:val="0082651D"/>
    <w:rsid w:val="00826570"/>
    <w:rsid w:val="00826A2E"/>
    <w:rsid w:val="0082755B"/>
    <w:rsid w:val="00827613"/>
    <w:rsid w:val="00827B78"/>
    <w:rsid w:val="00827EEE"/>
    <w:rsid w:val="00830195"/>
    <w:rsid w:val="00830423"/>
    <w:rsid w:val="0083104C"/>
    <w:rsid w:val="00831910"/>
    <w:rsid w:val="00831917"/>
    <w:rsid w:val="00831B6C"/>
    <w:rsid w:val="0083254B"/>
    <w:rsid w:val="00833034"/>
    <w:rsid w:val="008342EB"/>
    <w:rsid w:val="00835062"/>
    <w:rsid w:val="00835777"/>
    <w:rsid w:val="00835E3A"/>
    <w:rsid w:val="00836447"/>
    <w:rsid w:val="00836CD3"/>
    <w:rsid w:val="00836E21"/>
    <w:rsid w:val="00840701"/>
    <w:rsid w:val="008409EC"/>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069"/>
    <w:rsid w:val="008518FA"/>
    <w:rsid w:val="00851A8B"/>
    <w:rsid w:val="0085255F"/>
    <w:rsid w:val="0085305A"/>
    <w:rsid w:val="008533B9"/>
    <w:rsid w:val="008534C3"/>
    <w:rsid w:val="0085400D"/>
    <w:rsid w:val="00854AC6"/>
    <w:rsid w:val="00854DBC"/>
    <w:rsid w:val="008554AF"/>
    <w:rsid w:val="008554BA"/>
    <w:rsid w:val="00855CA3"/>
    <w:rsid w:val="00855D33"/>
    <w:rsid w:val="00856361"/>
    <w:rsid w:val="00856D92"/>
    <w:rsid w:val="00857A3C"/>
    <w:rsid w:val="0086006B"/>
    <w:rsid w:val="008619F7"/>
    <w:rsid w:val="00861B0D"/>
    <w:rsid w:val="00863494"/>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47EB"/>
    <w:rsid w:val="008758B7"/>
    <w:rsid w:val="00876363"/>
    <w:rsid w:val="008772EF"/>
    <w:rsid w:val="008778C7"/>
    <w:rsid w:val="00877F65"/>
    <w:rsid w:val="0088057A"/>
    <w:rsid w:val="00880885"/>
    <w:rsid w:val="00881F20"/>
    <w:rsid w:val="008828D1"/>
    <w:rsid w:val="00882ABD"/>
    <w:rsid w:val="008831C3"/>
    <w:rsid w:val="008840D3"/>
    <w:rsid w:val="0088451F"/>
    <w:rsid w:val="0088484F"/>
    <w:rsid w:val="00884A84"/>
    <w:rsid w:val="00884FE6"/>
    <w:rsid w:val="00885D8B"/>
    <w:rsid w:val="00886025"/>
    <w:rsid w:val="00887960"/>
    <w:rsid w:val="00887F17"/>
    <w:rsid w:val="008904A1"/>
    <w:rsid w:val="00891BA0"/>
    <w:rsid w:val="00891E82"/>
    <w:rsid w:val="00892B69"/>
    <w:rsid w:val="00893571"/>
    <w:rsid w:val="00893675"/>
    <w:rsid w:val="00894411"/>
    <w:rsid w:val="00894D5F"/>
    <w:rsid w:val="00894E12"/>
    <w:rsid w:val="0089527B"/>
    <w:rsid w:val="008953E0"/>
    <w:rsid w:val="0089600C"/>
    <w:rsid w:val="008960B2"/>
    <w:rsid w:val="008965FD"/>
    <w:rsid w:val="00896968"/>
    <w:rsid w:val="00896FF1"/>
    <w:rsid w:val="008A0443"/>
    <w:rsid w:val="008A052D"/>
    <w:rsid w:val="008A1E68"/>
    <w:rsid w:val="008A2036"/>
    <w:rsid w:val="008A2125"/>
    <w:rsid w:val="008A24B2"/>
    <w:rsid w:val="008A297E"/>
    <w:rsid w:val="008A4361"/>
    <w:rsid w:val="008A6443"/>
    <w:rsid w:val="008A7A9F"/>
    <w:rsid w:val="008B0950"/>
    <w:rsid w:val="008B097D"/>
    <w:rsid w:val="008B0B3D"/>
    <w:rsid w:val="008B1508"/>
    <w:rsid w:val="008B1533"/>
    <w:rsid w:val="008B21E3"/>
    <w:rsid w:val="008B2618"/>
    <w:rsid w:val="008B441C"/>
    <w:rsid w:val="008B4611"/>
    <w:rsid w:val="008B4DED"/>
    <w:rsid w:val="008B60B3"/>
    <w:rsid w:val="008B62FC"/>
    <w:rsid w:val="008B6BBA"/>
    <w:rsid w:val="008B7D78"/>
    <w:rsid w:val="008C00D7"/>
    <w:rsid w:val="008C0381"/>
    <w:rsid w:val="008C048B"/>
    <w:rsid w:val="008C048D"/>
    <w:rsid w:val="008C07D3"/>
    <w:rsid w:val="008C231E"/>
    <w:rsid w:val="008C235E"/>
    <w:rsid w:val="008C3493"/>
    <w:rsid w:val="008C426D"/>
    <w:rsid w:val="008C46FD"/>
    <w:rsid w:val="008C484F"/>
    <w:rsid w:val="008C48FF"/>
    <w:rsid w:val="008C60E7"/>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9B3"/>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2D35"/>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07D7B"/>
    <w:rsid w:val="00910627"/>
    <w:rsid w:val="00911557"/>
    <w:rsid w:val="00912273"/>
    <w:rsid w:val="009128DC"/>
    <w:rsid w:val="00912DCE"/>
    <w:rsid w:val="00914521"/>
    <w:rsid w:val="009149DD"/>
    <w:rsid w:val="009151E3"/>
    <w:rsid w:val="00915737"/>
    <w:rsid w:val="009161AE"/>
    <w:rsid w:val="00916368"/>
    <w:rsid w:val="009166DD"/>
    <w:rsid w:val="00916A23"/>
    <w:rsid w:val="00916DBD"/>
    <w:rsid w:val="00916ED0"/>
    <w:rsid w:val="00917102"/>
    <w:rsid w:val="009173DE"/>
    <w:rsid w:val="00917E0A"/>
    <w:rsid w:val="00920512"/>
    <w:rsid w:val="00920D8A"/>
    <w:rsid w:val="00920D8E"/>
    <w:rsid w:val="0092111A"/>
    <w:rsid w:val="009216F5"/>
    <w:rsid w:val="00921A8A"/>
    <w:rsid w:val="009220F4"/>
    <w:rsid w:val="00922980"/>
    <w:rsid w:val="00922A63"/>
    <w:rsid w:val="00923036"/>
    <w:rsid w:val="009236B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54BB"/>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09A"/>
    <w:rsid w:val="009528B0"/>
    <w:rsid w:val="00952954"/>
    <w:rsid w:val="00952D30"/>
    <w:rsid w:val="00952F1F"/>
    <w:rsid w:val="009533EE"/>
    <w:rsid w:val="00954312"/>
    <w:rsid w:val="00954477"/>
    <w:rsid w:val="00954585"/>
    <w:rsid w:val="00954BD2"/>
    <w:rsid w:val="00955A11"/>
    <w:rsid w:val="00955BDC"/>
    <w:rsid w:val="009565D5"/>
    <w:rsid w:val="009601F6"/>
    <w:rsid w:val="0096028D"/>
    <w:rsid w:val="0096310C"/>
    <w:rsid w:val="00963555"/>
    <w:rsid w:val="009636D3"/>
    <w:rsid w:val="00964E41"/>
    <w:rsid w:val="00965482"/>
    <w:rsid w:val="0096590C"/>
    <w:rsid w:val="00966E12"/>
    <w:rsid w:val="0096737B"/>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1C6B"/>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1AC5"/>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43F"/>
    <w:rsid w:val="009E1A5A"/>
    <w:rsid w:val="009E1EFF"/>
    <w:rsid w:val="009E321A"/>
    <w:rsid w:val="009E35F7"/>
    <w:rsid w:val="009E4BBD"/>
    <w:rsid w:val="009E4F9D"/>
    <w:rsid w:val="009E53F7"/>
    <w:rsid w:val="009E58F3"/>
    <w:rsid w:val="009E5DE7"/>
    <w:rsid w:val="009E6C0E"/>
    <w:rsid w:val="009E6C37"/>
    <w:rsid w:val="009E7AB4"/>
    <w:rsid w:val="009E7FFB"/>
    <w:rsid w:val="009F0287"/>
    <w:rsid w:val="009F09CD"/>
    <w:rsid w:val="009F1565"/>
    <w:rsid w:val="009F20D0"/>
    <w:rsid w:val="009F287D"/>
    <w:rsid w:val="009F28AC"/>
    <w:rsid w:val="009F2A79"/>
    <w:rsid w:val="009F2ECE"/>
    <w:rsid w:val="009F3179"/>
    <w:rsid w:val="009F3922"/>
    <w:rsid w:val="009F3C61"/>
    <w:rsid w:val="009F4098"/>
    <w:rsid w:val="009F4229"/>
    <w:rsid w:val="009F4BE9"/>
    <w:rsid w:val="009F50A4"/>
    <w:rsid w:val="009F50D0"/>
    <w:rsid w:val="009F58E4"/>
    <w:rsid w:val="009F5CF4"/>
    <w:rsid w:val="009F5DAA"/>
    <w:rsid w:val="009F5F93"/>
    <w:rsid w:val="009F69F2"/>
    <w:rsid w:val="009F6AB3"/>
    <w:rsid w:val="009F7C2C"/>
    <w:rsid w:val="00A00428"/>
    <w:rsid w:val="00A00D88"/>
    <w:rsid w:val="00A00E89"/>
    <w:rsid w:val="00A00FA9"/>
    <w:rsid w:val="00A02285"/>
    <w:rsid w:val="00A02687"/>
    <w:rsid w:val="00A0309E"/>
    <w:rsid w:val="00A036E0"/>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16A4A"/>
    <w:rsid w:val="00A2076F"/>
    <w:rsid w:val="00A20AFE"/>
    <w:rsid w:val="00A215D0"/>
    <w:rsid w:val="00A21BD9"/>
    <w:rsid w:val="00A21C22"/>
    <w:rsid w:val="00A21C64"/>
    <w:rsid w:val="00A22178"/>
    <w:rsid w:val="00A2229F"/>
    <w:rsid w:val="00A2246C"/>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38D2"/>
    <w:rsid w:val="00A4416D"/>
    <w:rsid w:val="00A4436C"/>
    <w:rsid w:val="00A44D0F"/>
    <w:rsid w:val="00A44E26"/>
    <w:rsid w:val="00A45384"/>
    <w:rsid w:val="00A45F8B"/>
    <w:rsid w:val="00A45FF7"/>
    <w:rsid w:val="00A5068C"/>
    <w:rsid w:val="00A50A7D"/>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12E"/>
    <w:rsid w:val="00A7523A"/>
    <w:rsid w:val="00A75FFB"/>
    <w:rsid w:val="00A77001"/>
    <w:rsid w:val="00A77578"/>
    <w:rsid w:val="00A77C6F"/>
    <w:rsid w:val="00A77E38"/>
    <w:rsid w:val="00A8000B"/>
    <w:rsid w:val="00A81ACC"/>
    <w:rsid w:val="00A81C5D"/>
    <w:rsid w:val="00A81C64"/>
    <w:rsid w:val="00A8248D"/>
    <w:rsid w:val="00A826F0"/>
    <w:rsid w:val="00A8290E"/>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2884"/>
    <w:rsid w:val="00AA28B7"/>
    <w:rsid w:val="00AA31B7"/>
    <w:rsid w:val="00AA3C26"/>
    <w:rsid w:val="00AA54E4"/>
    <w:rsid w:val="00AA5A5A"/>
    <w:rsid w:val="00AA5C19"/>
    <w:rsid w:val="00AA5C41"/>
    <w:rsid w:val="00AA614D"/>
    <w:rsid w:val="00AA6A35"/>
    <w:rsid w:val="00AA6EB6"/>
    <w:rsid w:val="00AA70F5"/>
    <w:rsid w:val="00AA7FDD"/>
    <w:rsid w:val="00AB024B"/>
    <w:rsid w:val="00AB120D"/>
    <w:rsid w:val="00AB1D71"/>
    <w:rsid w:val="00AB1FB3"/>
    <w:rsid w:val="00AB2DFF"/>
    <w:rsid w:val="00AB2F40"/>
    <w:rsid w:val="00AB2F6D"/>
    <w:rsid w:val="00AB3D82"/>
    <w:rsid w:val="00AB407C"/>
    <w:rsid w:val="00AB4222"/>
    <w:rsid w:val="00AB43BA"/>
    <w:rsid w:val="00AB4ED2"/>
    <w:rsid w:val="00AB6572"/>
    <w:rsid w:val="00AB6FE6"/>
    <w:rsid w:val="00AB746C"/>
    <w:rsid w:val="00AB7E42"/>
    <w:rsid w:val="00AC0966"/>
    <w:rsid w:val="00AC0A2B"/>
    <w:rsid w:val="00AC2701"/>
    <w:rsid w:val="00AC2A84"/>
    <w:rsid w:val="00AC3423"/>
    <w:rsid w:val="00AC3897"/>
    <w:rsid w:val="00AC3F0E"/>
    <w:rsid w:val="00AC5F84"/>
    <w:rsid w:val="00AC662A"/>
    <w:rsid w:val="00AC7B94"/>
    <w:rsid w:val="00AD07D5"/>
    <w:rsid w:val="00AD10E6"/>
    <w:rsid w:val="00AD1479"/>
    <w:rsid w:val="00AD2302"/>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983"/>
    <w:rsid w:val="00AF6C9F"/>
    <w:rsid w:val="00AF796F"/>
    <w:rsid w:val="00B01E6D"/>
    <w:rsid w:val="00B03860"/>
    <w:rsid w:val="00B03E6C"/>
    <w:rsid w:val="00B046C5"/>
    <w:rsid w:val="00B04717"/>
    <w:rsid w:val="00B047E4"/>
    <w:rsid w:val="00B04FA4"/>
    <w:rsid w:val="00B05324"/>
    <w:rsid w:val="00B05541"/>
    <w:rsid w:val="00B05BBE"/>
    <w:rsid w:val="00B05D15"/>
    <w:rsid w:val="00B06803"/>
    <w:rsid w:val="00B0761F"/>
    <w:rsid w:val="00B07668"/>
    <w:rsid w:val="00B07A38"/>
    <w:rsid w:val="00B131B1"/>
    <w:rsid w:val="00B13240"/>
    <w:rsid w:val="00B13874"/>
    <w:rsid w:val="00B1494C"/>
    <w:rsid w:val="00B14B3D"/>
    <w:rsid w:val="00B15055"/>
    <w:rsid w:val="00B15D94"/>
    <w:rsid w:val="00B162BC"/>
    <w:rsid w:val="00B1668C"/>
    <w:rsid w:val="00B16D79"/>
    <w:rsid w:val="00B1708B"/>
    <w:rsid w:val="00B172F1"/>
    <w:rsid w:val="00B17A28"/>
    <w:rsid w:val="00B203CE"/>
    <w:rsid w:val="00B20E81"/>
    <w:rsid w:val="00B21526"/>
    <w:rsid w:val="00B22434"/>
    <w:rsid w:val="00B22740"/>
    <w:rsid w:val="00B22B82"/>
    <w:rsid w:val="00B23A72"/>
    <w:rsid w:val="00B23CC3"/>
    <w:rsid w:val="00B246B5"/>
    <w:rsid w:val="00B24877"/>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481B"/>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6B22"/>
    <w:rsid w:val="00B771A3"/>
    <w:rsid w:val="00B77516"/>
    <w:rsid w:val="00B80A0C"/>
    <w:rsid w:val="00B8262E"/>
    <w:rsid w:val="00B83900"/>
    <w:rsid w:val="00B83FF3"/>
    <w:rsid w:val="00B84936"/>
    <w:rsid w:val="00B84DE5"/>
    <w:rsid w:val="00B861C2"/>
    <w:rsid w:val="00B8648D"/>
    <w:rsid w:val="00B86A05"/>
    <w:rsid w:val="00B86AC9"/>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880"/>
    <w:rsid w:val="00BA4D5F"/>
    <w:rsid w:val="00BA4F8F"/>
    <w:rsid w:val="00BA59FE"/>
    <w:rsid w:val="00BA6086"/>
    <w:rsid w:val="00BA68A4"/>
    <w:rsid w:val="00BA6D6B"/>
    <w:rsid w:val="00BA7172"/>
    <w:rsid w:val="00BB0A99"/>
    <w:rsid w:val="00BB0BE0"/>
    <w:rsid w:val="00BB11A0"/>
    <w:rsid w:val="00BB2324"/>
    <w:rsid w:val="00BB42C1"/>
    <w:rsid w:val="00BB434F"/>
    <w:rsid w:val="00BB5BAE"/>
    <w:rsid w:val="00BB5FA4"/>
    <w:rsid w:val="00BB671F"/>
    <w:rsid w:val="00BB779D"/>
    <w:rsid w:val="00BB7F71"/>
    <w:rsid w:val="00BC2EDB"/>
    <w:rsid w:val="00BC34A2"/>
    <w:rsid w:val="00BC35B4"/>
    <w:rsid w:val="00BC3772"/>
    <w:rsid w:val="00BC3F1C"/>
    <w:rsid w:val="00BC4399"/>
    <w:rsid w:val="00BC67F0"/>
    <w:rsid w:val="00BC70EF"/>
    <w:rsid w:val="00BC7241"/>
    <w:rsid w:val="00BC7985"/>
    <w:rsid w:val="00BC7B1B"/>
    <w:rsid w:val="00BD09C4"/>
    <w:rsid w:val="00BD0A12"/>
    <w:rsid w:val="00BD0BAD"/>
    <w:rsid w:val="00BD1BBC"/>
    <w:rsid w:val="00BD24C0"/>
    <w:rsid w:val="00BD2A79"/>
    <w:rsid w:val="00BD3117"/>
    <w:rsid w:val="00BD4199"/>
    <w:rsid w:val="00BD444F"/>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555"/>
    <w:rsid w:val="00BF4BD3"/>
    <w:rsid w:val="00BF5925"/>
    <w:rsid w:val="00BF601E"/>
    <w:rsid w:val="00BF6151"/>
    <w:rsid w:val="00BF618D"/>
    <w:rsid w:val="00BF69EA"/>
    <w:rsid w:val="00BF792D"/>
    <w:rsid w:val="00C00191"/>
    <w:rsid w:val="00C019DA"/>
    <w:rsid w:val="00C0309B"/>
    <w:rsid w:val="00C040A8"/>
    <w:rsid w:val="00C048B2"/>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58D"/>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37A08"/>
    <w:rsid w:val="00C4086C"/>
    <w:rsid w:val="00C408A8"/>
    <w:rsid w:val="00C4101C"/>
    <w:rsid w:val="00C41F2E"/>
    <w:rsid w:val="00C42E05"/>
    <w:rsid w:val="00C433B9"/>
    <w:rsid w:val="00C4417B"/>
    <w:rsid w:val="00C44A95"/>
    <w:rsid w:val="00C450CC"/>
    <w:rsid w:val="00C4525B"/>
    <w:rsid w:val="00C45578"/>
    <w:rsid w:val="00C457C7"/>
    <w:rsid w:val="00C4597C"/>
    <w:rsid w:val="00C478D8"/>
    <w:rsid w:val="00C50341"/>
    <w:rsid w:val="00C50500"/>
    <w:rsid w:val="00C51A61"/>
    <w:rsid w:val="00C52888"/>
    <w:rsid w:val="00C52D30"/>
    <w:rsid w:val="00C5568C"/>
    <w:rsid w:val="00C56651"/>
    <w:rsid w:val="00C57BF9"/>
    <w:rsid w:val="00C60809"/>
    <w:rsid w:val="00C60CD4"/>
    <w:rsid w:val="00C610AA"/>
    <w:rsid w:val="00C616FE"/>
    <w:rsid w:val="00C6187A"/>
    <w:rsid w:val="00C618C1"/>
    <w:rsid w:val="00C61B5C"/>
    <w:rsid w:val="00C61C0B"/>
    <w:rsid w:val="00C61DAB"/>
    <w:rsid w:val="00C62342"/>
    <w:rsid w:val="00C631EB"/>
    <w:rsid w:val="00C6387E"/>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486B"/>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57E"/>
    <w:rsid w:val="00CA07E1"/>
    <w:rsid w:val="00CA0FF2"/>
    <w:rsid w:val="00CA10B6"/>
    <w:rsid w:val="00CA1A75"/>
    <w:rsid w:val="00CA1B32"/>
    <w:rsid w:val="00CA1F8F"/>
    <w:rsid w:val="00CA2B6A"/>
    <w:rsid w:val="00CA33D4"/>
    <w:rsid w:val="00CA48D3"/>
    <w:rsid w:val="00CA4B71"/>
    <w:rsid w:val="00CA57CD"/>
    <w:rsid w:val="00CA6197"/>
    <w:rsid w:val="00CA7474"/>
    <w:rsid w:val="00CA78E5"/>
    <w:rsid w:val="00CA7D13"/>
    <w:rsid w:val="00CA7F03"/>
    <w:rsid w:val="00CB0443"/>
    <w:rsid w:val="00CB049E"/>
    <w:rsid w:val="00CB0666"/>
    <w:rsid w:val="00CB08E9"/>
    <w:rsid w:val="00CB139A"/>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170"/>
    <w:rsid w:val="00CD2DED"/>
    <w:rsid w:val="00CD32B0"/>
    <w:rsid w:val="00CD477A"/>
    <w:rsid w:val="00CD5192"/>
    <w:rsid w:val="00CD52C8"/>
    <w:rsid w:val="00CD56A0"/>
    <w:rsid w:val="00CD585D"/>
    <w:rsid w:val="00CD591E"/>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3A"/>
    <w:rsid w:val="00CF36FB"/>
    <w:rsid w:val="00CF3964"/>
    <w:rsid w:val="00CF4BEF"/>
    <w:rsid w:val="00CF53B5"/>
    <w:rsid w:val="00CF68B0"/>
    <w:rsid w:val="00CF7FD1"/>
    <w:rsid w:val="00D00AD6"/>
    <w:rsid w:val="00D0149C"/>
    <w:rsid w:val="00D01B12"/>
    <w:rsid w:val="00D02404"/>
    <w:rsid w:val="00D02622"/>
    <w:rsid w:val="00D0301B"/>
    <w:rsid w:val="00D03B2F"/>
    <w:rsid w:val="00D05AFC"/>
    <w:rsid w:val="00D07638"/>
    <w:rsid w:val="00D10463"/>
    <w:rsid w:val="00D10A3D"/>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5FD1"/>
    <w:rsid w:val="00D56019"/>
    <w:rsid w:val="00D56612"/>
    <w:rsid w:val="00D57C3B"/>
    <w:rsid w:val="00D60CF1"/>
    <w:rsid w:val="00D62904"/>
    <w:rsid w:val="00D63963"/>
    <w:rsid w:val="00D63A5C"/>
    <w:rsid w:val="00D63B87"/>
    <w:rsid w:val="00D63C68"/>
    <w:rsid w:val="00D63D24"/>
    <w:rsid w:val="00D641FE"/>
    <w:rsid w:val="00D65722"/>
    <w:rsid w:val="00D66CE3"/>
    <w:rsid w:val="00D7041D"/>
    <w:rsid w:val="00D70A89"/>
    <w:rsid w:val="00D719B2"/>
    <w:rsid w:val="00D71A18"/>
    <w:rsid w:val="00D71B0A"/>
    <w:rsid w:val="00D7205D"/>
    <w:rsid w:val="00D720E7"/>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E68"/>
    <w:rsid w:val="00DA12E6"/>
    <w:rsid w:val="00DA13DF"/>
    <w:rsid w:val="00DA2369"/>
    <w:rsid w:val="00DA2DD1"/>
    <w:rsid w:val="00DA3259"/>
    <w:rsid w:val="00DA4E0E"/>
    <w:rsid w:val="00DA5573"/>
    <w:rsid w:val="00DA69F3"/>
    <w:rsid w:val="00DA75D1"/>
    <w:rsid w:val="00DA7CAB"/>
    <w:rsid w:val="00DB014C"/>
    <w:rsid w:val="00DB0A95"/>
    <w:rsid w:val="00DB0F5C"/>
    <w:rsid w:val="00DB1439"/>
    <w:rsid w:val="00DB21A1"/>
    <w:rsid w:val="00DB297A"/>
    <w:rsid w:val="00DB2B52"/>
    <w:rsid w:val="00DB46D4"/>
    <w:rsid w:val="00DB49A9"/>
    <w:rsid w:val="00DB5BF2"/>
    <w:rsid w:val="00DB6E17"/>
    <w:rsid w:val="00DB75B2"/>
    <w:rsid w:val="00DB7C35"/>
    <w:rsid w:val="00DB7CEC"/>
    <w:rsid w:val="00DC0162"/>
    <w:rsid w:val="00DC02C7"/>
    <w:rsid w:val="00DC0885"/>
    <w:rsid w:val="00DC0C7C"/>
    <w:rsid w:val="00DC14F7"/>
    <w:rsid w:val="00DC23FE"/>
    <w:rsid w:val="00DC2AF8"/>
    <w:rsid w:val="00DC4CF9"/>
    <w:rsid w:val="00DC5503"/>
    <w:rsid w:val="00DC5E02"/>
    <w:rsid w:val="00DC70DA"/>
    <w:rsid w:val="00DC791B"/>
    <w:rsid w:val="00DD0C02"/>
    <w:rsid w:val="00DD0F39"/>
    <w:rsid w:val="00DD189F"/>
    <w:rsid w:val="00DD25FE"/>
    <w:rsid w:val="00DD3148"/>
    <w:rsid w:val="00DD3B0A"/>
    <w:rsid w:val="00DD3E75"/>
    <w:rsid w:val="00DD3FC7"/>
    <w:rsid w:val="00DD407A"/>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3EB1"/>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6BC"/>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12A"/>
    <w:rsid w:val="00E513A5"/>
    <w:rsid w:val="00E513C3"/>
    <w:rsid w:val="00E51606"/>
    <w:rsid w:val="00E5186D"/>
    <w:rsid w:val="00E51FEC"/>
    <w:rsid w:val="00E52499"/>
    <w:rsid w:val="00E5313A"/>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514"/>
    <w:rsid w:val="00EB68DE"/>
    <w:rsid w:val="00EB6D4C"/>
    <w:rsid w:val="00EC17A4"/>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3AD"/>
    <w:rsid w:val="00EE48FC"/>
    <w:rsid w:val="00EE49DE"/>
    <w:rsid w:val="00EE5840"/>
    <w:rsid w:val="00EE63D1"/>
    <w:rsid w:val="00EE657A"/>
    <w:rsid w:val="00EE72CD"/>
    <w:rsid w:val="00EF11DC"/>
    <w:rsid w:val="00EF1635"/>
    <w:rsid w:val="00EF19E1"/>
    <w:rsid w:val="00EF3CCA"/>
    <w:rsid w:val="00EF476A"/>
    <w:rsid w:val="00EF5419"/>
    <w:rsid w:val="00EF5C8B"/>
    <w:rsid w:val="00EF65E8"/>
    <w:rsid w:val="00EF668D"/>
    <w:rsid w:val="00EF74B8"/>
    <w:rsid w:val="00F003F2"/>
    <w:rsid w:val="00F007A8"/>
    <w:rsid w:val="00F009BC"/>
    <w:rsid w:val="00F00AA4"/>
    <w:rsid w:val="00F00B6C"/>
    <w:rsid w:val="00F00E46"/>
    <w:rsid w:val="00F015F3"/>
    <w:rsid w:val="00F021D3"/>
    <w:rsid w:val="00F0228C"/>
    <w:rsid w:val="00F02630"/>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56C0"/>
    <w:rsid w:val="00F167B4"/>
    <w:rsid w:val="00F17055"/>
    <w:rsid w:val="00F1711A"/>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3D0"/>
    <w:rsid w:val="00F4068E"/>
    <w:rsid w:val="00F40E08"/>
    <w:rsid w:val="00F42B3C"/>
    <w:rsid w:val="00F42F75"/>
    <w:rsid w:val="00F43561"/>
    <w:rsid w:val="00F43B34"/>
    <w:rsid w:val="00F447D5"/>
    <w:rsid w:val="00F45096"/>
    <w:rsid w:val="00F45572"/>
    <w:rsid w:val="00F4598E"/>
    <w:rsid w:val="00F45A2B"/>
    <w:rsid w:val="00F45B33"/>
    <w:rsid w:val="00F4656B"/>
    <w:rsid w:val="00F4721B"/>
    <w:rsid w:val="00F4755F"/>
    <w:rsid w:val="00F503E2"/>
    <w:rsid w:val="00F5050E"/>
    <w:rsid w:val="00F50D94"/>
    <w:rsid w:val="00F51183"/>
    <w:rsid w:val="00F51802"/>
    <w:rsid w:val="00F51C8D"/>
    <w:rsid w:val="00F52FA1"/>
    <w:rsid w:val="00F53DD3"/>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1DFE"/>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A4A"/>
    <w:rsid w:val="00F86B09"/>
    <w:rsid w:val="00F86DC4"/>
    <w:rsid w:val="00F86F96"/>
    <w:rsid w:val="00F872A7"/>
    <w:rsid w:val="00F874A8"/>
    <w:rsid w:val="00F87705"/>
    <w:rsid w:val="00F87983"/>
    <w:rsid w:val="00F87D1B"/>
    <w:rsid w:val="00F90904"/>
    <w:rsid w:val="00F914D4"/>
    <w:rsid w:val="00F91A95"/>
    <w:rsid w:val="00F91AB7"/>
    <w:rsid w:val="00F91C84"/>
    <w:rsid w:val="00F9205A"/>
    <w:rsid w:val="00F92158"/>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4E3D"/>
    <w:rsid w:val="00FB502A"/>
    <w:rsid w:val="00FB50E1"/>
    <w:rsid w:val="00FB76B8"/>
    <w:rsid w:val="00FB7BB4"/>
    <w:rsid w:val="00FC02D6"/>
    <w:rsid w:val="00FC0BDF"/>
    <w:rsid w:val="00FC187B"/>
    <w:rsid w:val="00FC2582"/>
    <w:rsid w:val="00FC25F6"/>
    <w:rsid w:val="00FC2B12"/>
    <w:rsid w:val="00FC31AC"/>
    <w:rsid w:val="00FC34C7"/>
    <w:rsid w:val="00FC3722"/>
    <w:rsid w:val="00FC3E08"/>
    <w:rsid w:val="00FC42FA"/>
    <w:rsid w:val="00FC5349"/>
    <w:rsid w:val="00FC57E1"/>
    <w:rsid w:val="00FC6015"/>
    <w:rsid w:val="00FC6F87"/>
    <w:rsid w:val="00FD064C"/>
    <w:rsid w:val="00FD1896"/>
    <w:rsid w:val="00FD36D3"/>
    <w:rsid w:val="00FD3B35"/>
    <w:rsid w:val="00FD3F7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 w:type="character" w:customStyle="1" w:styleId="UnresolvedMention2">
    <w:name w:val="Unresolved Mention2"/>
    <w:basedOn w:val="DefaultParagraphFont"/>
    <w:uiPriority w:val="99"/>
    <w:semiHidden/>
    <w:unhideWhenUsed/>
    <w:rsid w:val="00B6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C12D-CBBE-4337-BC0D-AF7FE0A6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5843</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Rachel Hatcher</cp:lastModifiedBy>
  <cp:revision>4</cp:revision>
  <cp:lastPrinted>2022-10-07T15:29:00Z</cp:lastPrinted>
  <dcterms:created xsi:type="dcterms:W3CDTF">2023-02-07T21:17:00Z</dcterms:created>
  <dcterms:modified xsi:type="dcterms:W3CDTF">2023-03-22T17:25:00Z</dcterms:modified>
</cp:coreProperties>
</file>