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B367" w14:textId="19A4ED3C" w:rsidR="00A81775" w:rsidRDefault="00A81775" w:rsidP="000C09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Independent Banker</w:t>
      </w:r>
    </w:p>
    <w:p w14:paraId="672DCC5E" w14:textId="2A8E9372" w:rsidR="00A81775" w:rsidRDefault="00A81775" w:rsidP="000C09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Connections: Checks &amp; Balances</w:t>
      </w:r>
    </w:p>
    <w:p w14:paraId="3ABB514F" w14:textId="6C6FA7C2" w:rsidR="00A81775" w:rsidRDefault="00A81775" w:rsidP="000C09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October 2022</w:t>
      </w:r>
    </w:p>
    <w:p w14:paraId="17ACCF26" w14:textId="77777777" w:rsidR="00A81775" w:rsidRDefault="00A81775" w:rsidP="000C09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14:paraId="1283BE48" w14:textId="53059187" w:rsidR="00A81775" w:rsidRPr="00A81775" w:rsidRDefault="00A81775" w:rsidP="000C09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81775">
        <w:rPr>
          <w:rFonts w:ascii="Times New Roman" w:eastAsia="Times New Roman" w:hAnsi="Times New Roman" w:cs="Times New Roman"/>
          <w:color w:val="FF0000"/>
          <w:sz w:val="24"/>
          <w:szCs w:val="24"/>
        </w:rPr>
        <w:t>[tag]</w:t>
      </w:r>
    </w:p>
    <w:p w14:paraId="7F561F7C" w14:textId="69A8F2C6" w:rsidR="00A81775" w:rsidRDefault="00A81775" w:rsidP="000C09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Checks &amp; Balances</w:t>
      </w:r>
    </w:p>
    <w:p w14:paraId="11769097" w14:textId="0C95B199" w:rsidR="00A81775" w:rsidRDefault="00A81775" w:rsidP="000C09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14:paraId="68540BCA" w14:textId="77777777" w:rsidR="00A81775" w:rsidRPr="00A81775" w:rsidRDefault="00A81775" w:rsidP="000C09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81775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proofErr w:type="spellStart"/>
      <w:r w:rsidRPr="00A81775">
        <w:rPr>
          <w:rFonts w:ascii="Times New Roman" w:eastAsia="Times New Roman" w:hAnsi="Times New Roman" w:cs="Times New Roman"/>
          <w:color w:val="FF0000"/>
          <w:sz w:val="24"/>
          <w:szCs w:val="24"/>
        </w:rPr>
        <w:t>hed</w:t>
      </w:r>
      <w:proofErr w:type="spellEnd"/>
      <w:r w:rsidRPr="00A81775">
        <w:rPr>
          <w:rFonts w:ascii="Times New Roman" w:eastAsia="Times New Roman" w:hAnsi="Times New Roman" w:cs="Times New Roman"/>
          <w:color w:val="FF0000"/>
          <w:sz w:val="24"/>
          <w:szCs w:val="24"/>
        </w:rPr>
        <w:t>]</w:t>
      </w:r>
    </w:p>
    <w:p w14:paraId="057D9314" w14:textId="5D95F73D" w:rsidR="000B3DD0" w:rsidRPr="00A81775" w:rsidRDefault="00FF2087" w:rsidP="000C09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 w:rsidRPr="00A8177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ICBA </w:t>
      </w:r>
      <w:r w:rsidR="00A8177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f</w:t>
      </w:r>
      <w:r w:rsidRPr="00A8177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ighting Durbin </w:t>
      </w:r>
      <w:r w:rsidR="002B321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a</w:t>
      </w:r>
      <w:r w:rsidRPr="00A8177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mendment </w:t>
      </w:r>
      <w:r w:rsidR="00A8177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c</w:t>
      </w:r>
      <w:r w:rsidRPr="00A8177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redit </w:t>
      </w:r>
      <w:r w:rsidR="00A8177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c</w:t>
      </w:r>
      <w:r w:rsidRPr="00A8177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ard </w:t>
      </w:r>
      <w:r w:rsidR="00A8177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e</w:t>
      </w:r>
      <w:r w:rsidRPr="00A8177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xpansion</w:t>
      </w:r>
    </w:p>
    <w:p w14:paraId="1046765E" w14:textId="030462CF" w:rsidR="00A81775" w:rsidRDefault="00A81775" w:rsidP="000C09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5A4F6089" w14:textId="7B0EAACE" w:rsidR="000C0964" w:rsidRPr="00AA7FCB" w:rsidRDefault="000C0964" w:rsidP="000C09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7FCB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proofErr w:type="spellStart"/>
      <w:r w:rsidRPr="00AA7FCB">
        <w:rPr>
          <w:rFonts w:ascii="Times New Roman" w:eastAsia="Times New Roman" w:hAnsi="Times New Roman" w:cs="Times New Roman"/>
          <w:color w:val="FF0000"/>
          <w:sz w:val="24"/>
          <w:szCs w:val="24"/>
        </w:rPr>
        <w:t>Dek</w:t>
      </w:r>
      <w:proofErr w:type="spellEnd"/>
      <w:r w:rsidRPr="00AA7FCB">
        <w:rPr>
          <w:rFonts w:ascii="Times New Roman" w:eastAsia="Times New Roman" w:hAnsi="Times New Roman" w:cs="Times New Roman"/>
          <w:color w:val="FF0000"/>
          <w:sz w:val="24"/>
          <w:szCs w:val="24"/>
        </w:rPr>
        <w:t>]</w:t>
      </w:r>
    </w:p>
    <w:p w14:paraId="596B8BA6" w14:textId="334FB6C2" w:rsidR="000C0964" w:rsidRDefault="0047776A" w:rsidP="00123E58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The</w:t>
      </w:r>
      <w:r w:rsidR="005B618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new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ly</w:t>
      </w:r>
      <w:r w:rsidR="005B618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proposed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Credit Card Competition Act</w:t>
      </w:r>
      <w:r w:rsidR="005B618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could severely restrict community banks’ freedom</w:t>
      </w:r>
      <w:r w:rsidR="000346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5B618F">
        <w:rPr>
          <w:rFonts w:ascii="Times New Roman" w:eastAsia="Times New Roman" w:hAnsi="Times New Roman" w:cs="Times New Roman"/>
          <w:color w:val="212529"/>
          <w:sz w:val="24"/>
          <w:szCs w:val="24"/>
        </w:rPr>
        <w:t>regarding credit card payments, with cost hikes unfairly</w:t>
      </w:r>
      <w:r w:rsidR="00D71D3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5B618F">
        <w:rPr>
          <w:rFonts w:ascii="Times New Roman" w:eastAsia="Times New Roman" w:hAnsi="Times New Roman" w:cs="Times New Roman"/>
          <w:color w:val="212529"/>
          <w:sz w:val="24"/>
          <w:szCs w:val="24"/>
        </w:rPr>
        <w:t>passed along to the consumer</w:t>
      </w:r>
      <w:r w:rsidR="00CD69F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and </w:t>
      </w:r>
      <w:r w:rsidR="000346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the </w:t>
      </w:r>
      <w:r w:rsidR="00CD69F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greater </w:t>
      </w:r>
      <w:r w:rsidR="0003462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likelihood of </w:t>
      </w:r>
      <w:r w:rsidR="00CD69FE">
        <w:rPr>
          <w:rFonts w:ascii="Times New Roman" w:eastAsia="Times New Roman" w:hAnsi="Times New Roman" w:cs="Times New Roman"/>
          <w:color w:val="212529"/>
          <w:sz w:val="24"/>
          <w:szCs w:val="24"/>
        </w:rPr>
        <w:t>security risks.</w:t>
      </w:r>
    </w:p>
    <w:p w14:paraId="16043F4E" w14:textId="77777777" w:rsidR="000C0964" w:rsidRDefault="000C0964" w:rsidP="000C09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42660AF9" w14:textId="2EE6AD3A" w:rsidR="00A81775" w:rsidRPr="00A81775" w:rsidRDefault="00A81775" w:rsidP="000C09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81775">
        <w:rPr>
          <w:rFonts w:ascii="Times New Roman" w:eastAsia="Times New Roman" w:hAnsi="Times New Roman" w:cs="Times New Roman"/>
          <w:color w:val="FF0000"/>
          <w:sz w:val="24"/>
          <w:szCs w:val="24"/>
        </w:rPr>
        <w:t>[byline]</w:t>
      </w:r>
    </w:p>
    <w:p w14:paraId="5942C337" w14:textId="1254B939" w:rsidR="000B3DD0" w:rsidRPr="00A81775" w:rsidRDefault="000B3DD0" w:rsidP="000C09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By Aaron Stetter</w:t>
      </w:r>
      <w:r w:rsid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, ICBA</w:t>
      </w:r>
    </w:p>
    <w:p w14:paraId="3AFBD133" w14:textId="6B3B61BF" w:rsidR="00C30609" w:rsidRPr="00A81775" w:rsidRDefault="00C30609" w:rsidP="00A81775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ICBA and its allies are pushing back against </w:t>
      </w:r>
      <w:r w:rsidRPr="00A81775">
        <w:rPr>
          <w:rFonts w:ascii="Times New Roman" w:hAnsi="Times New Roman" w:cs="Times New Roman"/>
          <w:sz w:val="24"/>
          <w:szCs w:val="24"/>
        </w:rPr>
        <w:t>the Credit Card Competition Act of 2022 (S. 4674), also known</w:t>
      </w:r>
      <w:r w:rsidR="00E65FF5" w:rsidRPr="00A81775">
        <w:rPr>
          <w:rFonts w:ascii="Times New Roman" w:hAnsi="Times New Roman" w:cs="Times New Roman"/>
          <w:sz w:val="24"/>
          <w:szCs w:val="24"/>
        </w:rPr>
        <w:t xml:space="preserve"> as</w:t>
      </w:r>
      <w:r w:rsidRPr="00A81775">
        <w:rPr>
          <w:rFonts w:ascii="Times New Roman" w:hAnsi="Times New Roman" w:cs="Times New Roman"/>
          <w:sz w:val="24"/>
          <w:szCs w:val="24"/>
        </w:rPr>
        <w:t xml:space="preserve"> </w:t>
      </w:r>
      <w:r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the Marshall-Durbin bill, warning Congress that the bill would undermine the safeguards that protect credit card payments—with consumers</w:t>
      </w:r>
      <w:r w:rsidR="00236FA0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and community banks</w:t>
      </w:r>
      <w:r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ultimately paying the price. </w:t>
      </w:r>
    </w:p>
    <w:p w14:paraId="42FE1B9A" w14:textId="1422F830" w:rsidR="00C30609" w:rsidRPr="00A81775" w:rsidRDefault="00C30609" w:rsidP="00A81775">
      <w:pPr>
        <w:shd w:val="clear" w:color="auto" w:fill="FFFFFF"/>
        <w:spacing w:after="30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Led by big box retailers </w:t>
      </w:r>
      <w:r w:rsidR="007722CF">
        <w:rPr>
          <w:rFonts w:ascii="Times New Roman" w:eastAsia="Times New Roman" w:hAnsi="Times New Roman" w:cs="Times New Roman"/>
          <w:color w:val="212529"/>
          <w:sz w:val="24"/>
          <w:szCs w:val="24"/>
        </w:rPr>
        <w:t>that</w:t>
      </w:r>
      <w:r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would reap large profits, the Mar</w:t>
      </w:r>
      <w:r w:rsidR="00F176A2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s</w:t>
      </w:r>
      <w:r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hall-Durbin bill</w:t>
      </w:r>
      <w:r w:rsidR="0042517F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introduced by </w:t>
      </w:r>
      <w:r w:rsidR="0042517F" w:rsidRPr="00A817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Sens. Roger Marshall (R-Kan.) and Dick Durbin (D-Ill.), </w:t>
      </w:r>
      <w:r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would overhaul credit card lending</w:t>
      </w:r>
      <w:r w:rsidR="00F176A2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by</w:t>
      </w:r>
      <w:r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creating new mandates </w:t>
      </w:r>
      <w:r w:rsidR="00B705EB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forcing </w:t>
      </w:r>
      <w:r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banks with over $100 </w:t>
      </w:r>
      <w:r w:rsidR="009E1084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b</w:t>
      </w:r>
      <w:r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illion in assets to enable their</w:t>
      </w:r>
      <w:r w:rsidRPr="00A817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credit cards</w:t>
      </w:r>
      <w:r w:rsidR="00F176A2" w:rsidRPr="00A817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F176A2" w:rsidRPr="00A817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to be used on at least two</w:t>
      </w:r>
      <w:r w:rsidRPr="00A817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unaffiliated networks</w:t>
      </w:r>
      <w:r w:rsidR="00F176A2" w:rsidRPr="00A817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—</w:t>
      </w:r>
      <w:r w:rsidR="00E65FF5" w:rsidRPr="00A817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similar to </w:t>
      </w:r>
      <w:r w:rsidR="00F176A2" w:rsidRPr="00A817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what </w:t>
      </w:r>
      <w:r w:rsidRPr="00A817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 original Durbin Amendment did for debit</w:t>
      </w:r>
      <w:r w:rsidR="00CD42A9" w:rsidRPr="00A817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—and </w:t>
      </w:r>
      <w:r w:rsidR="004B0A6E" w:rsidRPr="00A817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shifting the choice of which network to use from the credit card issuer and consumer to the merchant</w:t>
      </w:r>
      <w:r w:rsidRPr="00A817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094F0F" w:rsidRPr="00A817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Only one of the</w:t>
      </w:r>
      <w:r w:rsidR="00236FA0" w:rsidRPr="00A817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two</w:t>
      </w:r>
      <w:r w:rsidR="00094F0F" w:rsidRPr="00A817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networks could be owned by Visa or Master</w:t>
      </w:r>
      <w:r w:rsidR="00925B7B" w:rsidRPr="00A817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card.</w:t>
      </w:r>
    </w:p>
    <w:p w14:paraId="6C2F6ED7" w14:textId="38213786" w:rsidR="00321D64" w:rsidRPr="00A81775" w:rsidRDefault="00F176A2" w:rsidP="00A81775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While community banks would not fall </w:t>
      </w:r>
      <w:r w:rsidR="00E65FF5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directly </w:t>
      </w:r>
      <w:r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under the mandate, </w:t>
      </w:r>
      <w:r w:rsidR="00CF45A4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the Marshall-Durbin bill would have a far-reaching impact on the entire financial services industry, </w:t>
      </w:r>
      <w:r w:rsidR="007143EF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including high implementation costs and security issues that will ultimately raise costs</w:t>
      </w:r>
      <w:r w:rsidR="00321D64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for consumers and limit credit options</w:t>
      </w:r>
      <w:r w:rsidR="00CF45A4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</w:p>
    <w:p w14:paraId="53C74B97" w14:textId="498AE61D" w:rsidR="00127173" w:rsidRPr="00A81775" w:rsidRDefault="005716CF" w:rsidP="00A81775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177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An expensive idea. </w:t>
      </w:r>
      <w:r w:rsidR="00844931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Requiring a second network option would force a costly fundamental </w:t>
      </w:r>
      <w:r w:rsidR="00127173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and ultimately, unnecessary, </w:t>
      </w:r>
      <w:r w:rsidR="00844931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change to the system. </w:t>
      </w:r>
      <w:r w:rsidR="00A6346E" w:rsidRPr="00A81775">
        <w:rPr>
          <w:rFonts w:ascii="Times New Roman" w:hAnsi="Times New Roman" w:cs="Times New Roman"/>
          <w:sz w:val="24"/>
          <w:szCs w:val="24"/>
        </w:rPr>
        <w:t>Unlike debit card transactions, credit card transactions are run on “dual messaging” infrastructure</w:t>
      </w:r>
      <w:r w:rsidR="00DF1B39" w:rsidRPr="00A81775">
        <w:rPr>
          <w:rFonts w:ascii="Times New Roman" w:hAnsi="Times New Roman" w:cs="Times New Roman"/>
          <w:sz w:val="24"/>
          <w:szCs w:val="24"/>
        </w:rPr>
        <w:t>—</w:t>
      </w:r>
      <w:r w:rsidR="00A6346E" w:rsidRPr="00A81775">
        <w:rPr>
          <w:rFonts w:ascii="Times New Roman" w:hAnsi="Times New Roman" w:cs="Times New Roman"/>
          <w:sz w:val="24"/>
          <w:szCs w:val="24"/>
        </w:rPr>
        <w:t>a message is sent to authorize a transaction and a second message is sent to post the transaction one or two days later.</w:t>
      </w:r>
      <w:r w:rsidR="003D4D28" w:rsidRPr="00A81775">
        <w:rPr>
          <w:rFonts w:ascii="Times New Roman" w:hAnsi="Times New Roman" w:cs="Times New Roman"/>
          <w:sz w:val="24"/>
          <w:szCs w:val="24"/>
        </w:rPr>
        <w:t xml:space="preserve"> </w:t>
      </w:r>
      <w:r w:rsidR="003D4D28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The infrastructure to support multiple dual-message credit networks does not exist today.</w:t>
      </w:r>
    </w:p>
    <w:p w14:paraId="5A2EFF74" w14:textId="70AABA87" w:rsidR="005147BB" w:rsidRPr="00A81775" w:rsidRDefault="002B7CBD" w:rsidP="00A81775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Card issuers, processors, acquirers and networks would have to make </w:t>
      </w:r>
      <w:r w:rsidR="00963A5E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significant </w:t>
      </w:r>
      <w:r w:rsidR="00056BFB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new infrastructure benefits</w:t>
      </w:r>
      <w:r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. The mandates may also require the reissuance of hundreds of millions of credit cards and chip recertification</w:t>
      </w:r>
      <w:r w:rsidR="005147BB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—a significant cost. </w:t>
      </w:r>
      <w:r w:rsidR="00CD568F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That’s if credit card issuers can even access enough chips to reissue cards</w:t>
      </w:r>
      <w:r w:rsidR="00DF25D0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due to supply chain challenges.</w:t>
      </w:r>
    </w:p>
    <w:p w14:paraId="0B90910B" w14:textId="1E2D69F8" w:rsidR="005716CF" w:rsidRPr="00A81775" w:rsidRDefault="007A5D76" w:rsidP="00A81775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As participants in the payments ecosystem, c</w:t>
      </w:r>
      <w:r w:rsidR="00BE2D5B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ommunity banks would </w:t>
      </w:r>
      <w:r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be forced to subsidize the system-wide costs of </w:t>
      </w:r>
      <w:r w:rsidR="00BE2D5B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complying with this mandate</w:t>
      </w:r>
      <w:r w:rsidR="00BE7591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, making community bank card programs more costly.</w:t>
      </w:r>
      <w:r w:rsidR="00CD4963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14:paraId="04B30AA0" w14:textId="661310B4" w:rsidR="00FA7197" w:rsidRPr="00A81775" w:rsidRDefault="00FA7197" w:rsidP="00A81775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These costs would further strain the viability of community banks, together with the cost of complying with numerous regulatory mandates that are just beginning to come online. A retreat from credit card lending would put community bank independence at risk and ultimately create a less competitive financial system for consumers and small businesses.</w:t>
      </w:r>
    </w:p>
    <w:p w14:paraId="42CE0471" w14:textId="7DAD8DA8" w:rsidR="00CF45A4" w:rsidRPr="00A81775" w:rsidRDefault="00F176A2" w:rsidP="00A81775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177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Costs to consumers. </w:t>
      </w:r>
      <w:r w:rsidR="00CF45A4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When the original Durbin amendment passed, big box retailers promised to pass the savings from lower interchange onto consumers. Instead, </w:t>
      </w:r>
      <w:r w:rsidR="00625495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over 98</w:t>
      </w:r>
      <w:r w:rsidR="004B0A6E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.8</w:t>
      </w:r>
      <w:r w:rsidR="00CD69FE">
        <w:rPr>
          <w:rFonts w:ascii="Times New Roman" w:eastAsia="Times New Roman" w:hAnsi="Times New Roman" w:cs="Times New Roman"/>
          <w:color w:val="212529"/>
          <w:sz w:val="24"/>
          <w:szCs w:val="24"/>
        </w:rPr>
        <w:t>%</w:t>
      </w:r>
      <w:r w:rsidR="00625495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of merchants </w:t>
      </w:r>
      <w:r w:rsidR="004B0A6E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failed to</w:t>
      </w:r>
      <w:r w:rsidR="00625495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pass these savings to consumers and </w:t>
      </w:r>
      <w:r w:rsidR="00CF45A4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the largest retail merchants, </w:t>
      </w:r>
      <w:r w:rsidR="00CF45A4" w:rsidRPr="00A817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including Amazon and </w:t>
      </w:r>
      <w:r w:rsidR="00CF45A4" w:rsidRPr="00A817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Wal</w:t>
      </w:r>
      <w:r w:rsidR="004777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</w:t>
      </w:r>
      <w:r w:rsidR="00CF45A4" w:rsidRPr="00A817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art, pocketed over $106 billion in interchange fees since 2010. The same thing will happen if the Marshall-Durbin bill passes.</w:t>
      </w:r>
    </w:p>
    <w:p w14:paraId="26984031" w14:textId="18EFC077" w:rsidR="00CF45A4" w:rsidRPr="00A81775" w:rsidRDefault="00CF45A4" w:rsidP="00A81775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Not only will consumers not see any cost savings, </w:t>
      </w:r>
      <w:r w:rsidR="0047776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but </w:t>
      </w:r>
      <w:r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they</w:t>
      </w:r>
      <w:r w:rsidR="007224E8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’re</w:t>
      </w:r>
      <w:r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like</w:t>
      </w:r>
      <w:r w:rsidR="00205970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ly</w:t>
      </w:r>
      <w:r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1B4A03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to </w:t>
      </w:r>
      <w:r w:rsidR="009202EA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pay more for access to credit cards in the form of </w:t>
      </w:r>
      <w:r w:rsidR="00A9230A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higher</w:t>
      </w:r>
      <w:r w:rsidR="005716CF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interest rates</w:t>
      </w:r>
      <w:r w:rsidR="00A9230A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and</w:t>
      </w:r>
      <w:r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a loss of </w:t>
      </w:r>
      <w:r w:rsidR="00A1589C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popular </w:t>
      </w:r>
      <w:r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benefits </w:t>
      </w:r>
      <w:r w:rsidR="005716CF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like rewards programs</w:t>
      </w:r>
      <w:r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5716CF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as the industry recoup</w:t>
      </w:r>
      <w:r w:rsidR="00E02E84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s</w:t>
      </w:r>
      <w:r w:rsidR="005716CF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the costs of the mandate.</w:t>
      </w:r>
      <w:r w:rsidR="00A9230A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Some</w:t>
      </w:r>
      <w:r w:rsidR="009202EA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A9230A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credit card issuers will leave the market altogether</w:t>
      </w:r>
      <w:r w:rsidR="000E1D04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rather than bear the cost</w:t>
      </w:r>
      <w:r w:rsidR="00A9230A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, leading to a contraction in credit card lending</w:t>
      </w:r>
      <w:r w:rsidR="005716CF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A9230A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and fewer options for </w:t>
      </w:r>
      <w:r w:rsidR="00A4559A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low- to moderate-income </w:t>
      </w:r>
      <w:r w:rsidR="00A9230A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consumers.</w:t>
      </w:r>
    </w:p>
    <w:p w14:paraId="62E1AA48" w14:textId="743992A8" w:rsidR="00372779" w:rsidRPr="00A81775" w:rsidRDefault="00965AA6" w:rsidP="00A81775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177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A security risk.</w:t>
      </w:r>
      <w:r w:rsidR="00F42E20" w:rsidRPr="00A8177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="006F6739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The goal of this legislation is to save merchants’ money by offering </w:t>
      </w:r>
      <w:r w:rsidR="00AE7E49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cheaper </w:t>
      </w:r>
      <w:r w:rsidR="00015EF3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networks. </w:t>
      </w:r>
      <w:r w:rsidR="002016A8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When a network values low cost over data security, they are less likely to invest in newer, more secure technologies. </w:t>
      </w:r>
      <w:r w:rsidR="00015EF3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This poses a huge data security issue. </w:t>
      </w:r>
      <w:r w:rsidR="00F42E20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Since merchants don’t bear liability for stolen consumer data, their only incentive is the lowest interchange rate, regardless of consequences for the consumer.</w:t>
      </w:r>
      <w:r w:rsidR="005E301E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Weaker security controls can expose consumer data</w:t>
      </w:r>
      <w:r w:rsidR="00967550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</w:p>
    <w:p w14:paraId="3F60BE37" w14:textId="7885FC5C" w:rsidR="00321D64" w:rsidRDefault="00015EF3" w:rsidP="00A81775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Card issuers will bear the cost of any increased fraud</w:t>
      </w:r>
      <w:r w:rsidR="008B162F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losses</w:t>
      </w:r>
      <w:r w:rsidR="00967550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, having no choice but to pass this cost onto consumers</w:t>
      </w:r>
      <w:r w:rsidR="005E301E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14:paraId="472F5C98" w14:textId="55D88CB9" w:rsidR="009D1099" w:rsidRPr="00AA7FCB" w:rsidRDefault="009D1099" w:rsidP="00A81775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7FCB">
        <w:rPr>
          <w:rFonts w:ascii="Times New Roman" w:eastAsia="Times New Roman" w:hAnsi="Times New Roman" w:cs="Times New Roman"/>
          <w:color w:val="FF0000"/>
          <w:sz w:val="24"/>
          <w:szCs w:val="24"/>
        </w:rPr>
        <w:t>[subhead]</w:t>
      </w:r>
    </w:p>
    <w:p w14:paraId="337E6EC9" w14:textId="06205E4C" w:rsidR="00787C56" w:rsidRPr="00A81775" w:rsidRDefault="00787C56" w:rsidP="00A81775">
      <w:pPr>
        <w:spacing w:line="36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 w:rsidRPr="00A8177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ICBA’s </w:t>
      </w:r>
      <w:r w:rsidR="009D109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o</w:t>
      </w:r>
      <w:r w:rsidRPr="00A8177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pposition to </w:t>
      </w:r>
      <w:r w:rsidR="000B3DD0" w:rsidRPr="00A81775">
        <w:rPr>
          <w:rFonts w:ascii="Times New Roman" w:hAnsi="Times New Roman" w:cs="Times New Roman"/>
          <w:b/>
          <w:bCs/>
          <w:sz w:val="24"/>
          <w:szCs w:val="24"/>
        </w:rPr>
        <w:t>S. 4674</w:t>
      </w:r>
    </w:p>
    <w:p w14:paraId="374EA593" w14:textId="5568E0A1" w:rsidR="007A60AE" w:rsidRPr="00A81775" w:rsidRDefault="00FA7197" w:rsidP="00A81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While community banks and the rest of the financial services industry are united in opposition to this measure, merchants will continue their push to reap further financial reward</w:t>
      </w:r>
      <w:r w:rsidR="000F3B6E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656916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on the backs of consumers and the payments ecosystem designed to serve them.</w:t>
      </w:r>
      <w:r w:rsidR="007A60AE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7A60AE" w:rsidRPr="00A81775">
        <w:rPr>
          <w:rFonts w:ascii="Times New Roman" w:hAnsi="Times New Roman" w:cs="Times New Roman"/>
          <w:sz w:val="24"/>
          <w:szCs w:val="24"/>
        </w:rPr>
        <w:t>This misguided legislation solves no identifiable problem, accrues only to the benefit of merchants, and puts consumer credit and payments innovation at risk.</w:t>
      </w:r>
    </w:p>
    <w:p w14:paraId="50EA51A1" w14:textId="77777777" w:rsidR="00787C56" w:rsidRPr="00A81775" w:rsidRDefault="00787C56" w:rsidP="00A81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1775">
        <w:rPr>
          <w:rFonts w:ascii="Times New Roman" w:hAnsi="Times New Roman" w:cs="Times New Roman"/>
          <w:sz w:val="24"/>
          <w:szCs w:val="24"/>
        </w:rPr>
        <w:t>As the only national trade association exclusively representing community banks, ICBA is committed to opposing any legislation that could result in unintended consequences for the industry and the consumers it serves.</w:t>
      </w:r>
    </w:p>
    <w:p w14:paraId="3A0E65EC" w14:textId="22CE2B41" w:rsidR="00787C56" w:rsidRDefault="007D0163" w:rsidP="00A81775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 xml:space="preserve">Community bankers can add their voices to the fight. Visit </w:t>
      </w:r>
      <w:r w:rsidR="00507251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the ICBA Grassroots Action Center </w:t>
      </w:r>
      <w:r w:rsidR="009D1099">
        <w:rPr>
          <w:rFonts w:ascii="Times New Roman" w:eastAsia="Times New Roman" w:hAnsi="Times New Roman" w:cs="Times New Roman"/>
          <w:color w:val="212529"/>
          <w:sz w:val="24"/>
          <w:szCs w:val="24"/>
        </w:rPr>
        <w:t>(</w:t>
      </w:r>
      <w:r w:rsidR="00333AD8">
        <w:rPr>
          <w:rFonts w:ascii="Times New Roman" w:eastAsia="Times New Roman" w:hAnsi="Times New Roman" w:cs="Times New Roman"/>
          <w:color w:val="212529"/>
          <w:sz w:val="24"/>
          <w:szCs w:val="24"/>
        </w:rPr>
        <w:t>&lt;</w:t>
      </w:r>
      <w:proofErr w:type="spellStart"/>
      <w:r w:rsidR="00333AD8">
        <w:rPr>
          <w:rFonts w:ascii="Times New Roman" w:eastAsia="Times New Roman" w:hAnsi="Times New Roman" w:cs="Times New Roman"/>
          <w:color w:val="212529"/>
          <w:sz w:val="24"/>
          <w:szCs w:val="24"/>
        </w:rPr>
        <w:t>i</w:t>
      </w:r>
      <w:proofErr w:type="spellEnd"/>
      <w:r w:rsidR="00333AD8">
        <w:rPr>
          <w:rFonts w:ascii="Times New Roman" w:eastAsia="Times New Roman" w:hAnsi="Times New Roman" w:cs="Times New Roman"/>
          <w:color w:val="212529"/>
          <w:sz w:val="24"/>
          <w:szCs w:val="24"/>
        </w:rPr>
        <w:t>&gt;</w:t>
      </w:r>
      <w:r w:rsidR="009D1099" w:rsidRPr="00AA7FCB">
        <w:rPr>
          <w:i/>
          <w:iCs/>
          <w:color w:val="212529"/>
        </w:rPr>
        <w:t>icba.quorum.us</w:t>
      </w:r>
      <w:r w:rsidR="00333AD8" w:rsidRPr="00AA7FCB">
        <w:rPr>
          <w:rFonts w:ascii="Times New Roman" w:eastAsia="Times New Roman" w:hAnsi="Times New Roman" w:cs="Times New Roman"/>
          <w:color w:val="212529"/>
          <w:sz w:val="24"/>
          <w:szCs w:val="24"/>
        </w:rPr>
        <w:t>&lt;</w:t>
      </w:r>
      <w:proofErr w:type="spellStart"/>
      <w:r w:rsidR="00333AD8" w:rsidRPr="00AA7FCB">
        <w:rPr>
          <w:rFonts w:ascii="Times New Roman" w:eastAsia="Times New Roman" w:hAnsi="Times New Roman" w:cs="Times New Roman"/>
          <w:color w:val="212529"/>
          <w:sz w:val="24"/>
          <w:szCs w:val="24"/>
        </w:rPr>
        <w:t>i</w:t>
      </w:r>
      <w:proofErr w:type="spellEnd"/>
      <w:r w:rsidR="00333AD8" w:rsidRPr="00AA7FCB">
        <w:rPr>
          <w:rFonts w:ascii="Times New Roman" w:eastAsia="Times New Roman" w:hAnsi="Times New Roman" w:cs="Times New Roman"/>
          <w:color w:val="212529"/>
          <w:sz w:val="24"/>
          <w:szCs w:val="24"/>
        </w:rPr>
        <w:t>&gt;</w:t>
      </w:r>
      <w:r w:rsidR="009D1099" w:rsidRPr="00AA7FC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)</w:t>
      </w:r>
      <w:r w:rsidR="009D109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A60E33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for ways to push back against this unreasonable </w:t>
      </w:r>
      <w:r w:rsidR="00E02E84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government intrusion into a functioning, private marketplace</w:t>
      </w:r>
      <w:r w:rsidR="00A60E33"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14:paraId="1491F59B" w14:textId="0F9A9850" w:rsidR="000C0964" w:rsidRDefault="000C0964" w:rsidP="00A81775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A7FC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Aaron Stetter</w:t>
      </w:r>
      <w:r w:rsidRPr="000C096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(aaron.stetter@icba.org) is ICBA’s executive vice president of advocacy and strategic engagement.</w:t>
      </w:r>
    </w:p>
    <w:p w14:paraId="38D20072" w14:textId="77239BCE" w:rsidR="000C0964" w:rsidRPr="00AA7FCB" w:rsidRDefault="000C0964" w:rsidP="00A81775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7FCB">
        <w:rPr>
          <w:rFonts w:ascii="Times New Roman" w:eastAsia="Times New Roman" w:hAnsi="Times New Roman" w:cs="Times New Roman"/>
          <w:color w:val="FF0000"/>
          <w:sz w:val="24"/>
          <w:szCs w:val="24"/>
        </w:rPr>
        <w:t>[pull quote]</w:t>
      </w:r>
    </w:p>
    <w:p w14:paraId="3A780C5B" w14:textId="30F72772" w:rsidR="00DD2186" w:rsidRPr="00A81775" w:rsidRDefault="00DD2186" w:rsidP="00DD2186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“</w:t>
      </w:r>
      <w:r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>While community banks would not fall directly under the mandate, the Marshall-Durbin bill would have a far-reaching impact on the entire financial services industry, including high implementation costs and security issues that will ultimately raise costs for consumers and limit credit options.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”</w:t>
      </w:r>
      <w:r w:rsidRPr="00A8177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14:paraId="2C1D1EC1" w14:textId="77777777" w:rsidR="00DD2186" w:rsidRPr="00A81775" w:rsidRDefault="00DD2186" w:rsidP="00A81775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sectPr w:rsidR="00DD2186" w:rsidRPr="00A81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09"/>
    <w:rsid w:val="00015EF3"/>
    <w:rsid w:val="00025404"/>
    <w:rsid w:val="00034627"/>
    <w:rsid w:val="00056BFB"/>
    <w:rsid w:val="00090138"/>
    <w:rsid w:val="00094F0F"/>
    <w:rsid w:val="000B3DD0"/>
    <w:rsid w:val="000C0964"/>
    <w:rsid w:val="000E1D04"/>
    <w:rsid w:val="000F2FFB"/>
    <w:rsid w:val="000F3B6E"/>
    <w:rsid w:val="000F6EFF"/>
    <w:rsid w:val="00123E58"/>
    <w:rsid w:val="00127173"/>
    <w:rsid w:val="001B4A03"/>
    <w:rsid w:val="001B544E"/>
    <w:rsid w:val="001C28B0"/>
    <w:rsid w:val="001D172E"/>
    <w:rsid w:val="001F1DF7"/>
    <w:rsid w:val="001F410E"/>
    <w:rsid w:val="002016A8"/>
    <w:rsid w:val="00205970"/>
    <w:rsid w:val="00236FA0"/>
    <w:rsid w:val="002B321C"/>
    <w:rsid w:val="002B4BE5"/>
    <w:rsid w:val="002B7CBD"/>
    <w:rsid w:val="002E2E2E"/>
    <w:rsid w:val="00321D64"/>
    <w:rsid w:val="00333AD8"/>
    <w:rsid w:val="00372779"/>
    <w:rsid w:val="003C0B29"/>
    <w:rsid w:val="003D4D28"/>
    <w:rsid w:val="003E0592"/>
    <w:rsid w:val="003F177D"/>
    <w:rsid w:val="003F425C"/>
    <w:rsid w:val="0042517F"/>
    <w:rsid w:val="0047776A"/>
    <w:rsid w:val="004B0A6E"/>
    <w:rsid w:val="004E2001"/>
    <w:rsid w:val="00507251"/>
    <w:rsid w:val="005147BB"/>
    <w:rsid w:val="005716CF"/>
    <w:rsid w:val="005B618F"/>
    <w:rsid w:val="005E301E"/>
    <w:rsid w:val="005E7481"/>
    <w:rsid w:val="00625495"/>
    <w:rsid w:val="00656916"/>
    <w:rsid w:val="006F6739"/>
    <w:rsid w:val="007143EF"/>
    <w:rsid w:val="007224E8"/>
    <w:rsid w:val="007722CF"/>
    <w:rsid w:val="00787C56"/>
    <w:rsid w:val="007A5D76"/>
    <w:rsid w:val="007A60AE"/>
    <w:rsid w:val="007D0163"/>
    <w:rsid w:val="00844931"/>
    <w:rsid w:val="008710CC"/>
    <w:rsid w:val="008A5BF1"/>
    <w:rsid w:val="008B162F"/>
    <w:rsid w:val="0090732C"/>
    <w:rsid w:val="009202EA"/>
    <w:rsid w:val="00925B7B"/>
    <w:rsid w:val="00936DD1"/>
    <w:rsid w:val="00963A5E"/>
    <w:rsid w:val="00965AA6"/>
    <w:rsid w:val="00967550"/>
    <w:rsid w:val="009D1099"/>
    <w:rsid w:val="009E01B8"/>
    <w:rsid w:val="009E1084"/>
    <w:rsid w:val="00A1589C"/>
    <w:rsid w:val="00A4559A"/>
    <w:rsid w:val="00A60E33"/>
    <w:rsid w:val="00A6346E"/>
    <w:rsid w:val="00A81775"/>
    <w:rsid w:val="00A9230A"/>
    <w:rsid w:val="00AA7FCB"/>
    <w:rsid w:val="00AE7E49"/>
    <w:rsid w:val="00B56FCA"/>
    <w:rsid w:val="00B705EB"/>
    <w:rsid w:val="00BD4531"/>
    <w:rsid w:val="00BE2D5B"/>
    <w:rsid w:val="00BE7591"/>
    <w:rsid w:val="00C30609"/>
    <w:rsid w:val="00CD42A9"/>
    <w:rsid w:val="00CD4963"/>
    <w:rsid w:val="00CD568F"/>
    <w:rsid w:val="00CD69FE"/>
    <w:rsid w:val="00CE4958"/>
    <w:rsid w:val="00CF45A4"/>
    <w:rsid w:val="00D71D38"/>
    <w:rsid w:val="00DD2186"/>
    <w:rsid w:val="00DF1B39"/>
    <w:rsid w:val="00DF25D0"/>
    <w:rsid w:val="00E02E84"/>
    <w:rsid w:val="00E45BE9"/>
    <w:rsid w:val="00E65FF5"/>
    <w:rsid w:val="00E91596"/>
    <w:rsid w:val="00EC0811"/>
    <w:rsid w:val="00F02F1E"/>
    <w:rsid w:val="00F04A1A"/>
    <w:rsid w:val="00F176A2"/>
    <w:rsid w:val="00F42E20"/>
    <w:rsid w:val="00FA7197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0538"/>
  <w15:chartTrackingRefBased/>
  <w15:docId w15:val="{376E1D7B-D62F-4009-A5BD-DE5C45CC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65F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25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5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54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4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10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 Pike</dc:creator>
  <cp:keywords/>
  <dc:description/>
  <cp:lastModifiedBy>Tiffany Lukk</cp:lastModifiedBy>
  <cp:revision>17</cp:revision>
  <dcterms:created xsi:type="dcterms:W3CDTF">2022-09-01T21:32:00Z</dcterms:created>
  <dcterms:modified xsi:type="dcterms:W3CDTF">2022-09-02T17:40:00Z</dcterms:modified>
</cp:coreProperties>
</file>