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D64A" w14:textId="09F4DBE7" w:rsidR="00ED6B2A" w:rsidRPr="002C423A" w:rsidRDefault="00ED6B2A" w:rsidP="00ED6B2A">
      <w:pPr>
        <w:spacing w:line="360" w:lineRule="auto"/>
        <w:rPr>
          <w:b/>
          <w:bCs/>
          <w:i/>
          <w:iCs/>
        </w:rPr>
      </w:pPr>
      <w:r w:rsidRPr="002C423A">
        <w:rPr>
          <w:b/>
          <w:bCs/>
          <w:i/>
          <w:iCs/>
        </w:rPr>
        <w:t>Independent Banker</w:t>
      </w:r>
    </w:p>
    <w:p w14:paraId="3E5B9247" w14:textId="171C9106" w:rsidR="00ED6B2A" w:rsidRPr="002C423A" w:rsidRDefault="00ED6B2A" w:rsidP="00ED6B2A">
      <w:pPr>
        <w:spacing w:line="360" w:lineRule="auto"/>
        <w:rPr>
          <w:b/>
          <w:bCs/>
        </w:rPr>
      </w:pPr>
      <w:r w:rsidRPr="002C423A">
        <w:rPr>
          <w:b/>
          <w:bCs/>
        </w:rPr>
        <w:t>Portfolio: Innovation Station</w:t>
      </w:r>
    </w:p>
    <w:p w14:paraId="3DF45784" w14:textId="25755495" w:rsidR="00ED6B2A" w:rsidRPr="002C423A" w:rsidRDefault="00ED6B2A" w:rsidP="00ED6B2A">
      <w:pPr>
        <w:spacing w:line="360" w:lineRule="auto"/>
        <w:rPr>
          <w:b/>
          <w:bCs/>
        </w:rPr>
      </w:pPr>
      <w:r w:rsidRPr="002C423A">
        <w:rPr>
          <w:b/>
          <w:bCs/>
        </w:rPr>
        <w:t>September 2022</w:t>
      </w:r>
    </w:p>
    <w:p w14:paraId="213AA2C2" w14:textId="2A67B76B" w:rsidR="00ED6B2A" w:rsidRDefault="00ED6B2A" w:rsidP="00ED6B2A">
      <w:pPr>
        <w:spacing w:line="360" w:lineRule="auto"/>
      </w:pPr>
    </w:p>
    <w:p w14:paraId="67F446C8" w14:textId="2F21E598" w:rsidR="00ED6B2A" w:rsidRPr="002C423A" w:rsidRDefault="00ED6B2A" w:rsidP="00ED6B2A">
      <w:pPr>
        <w:spacing w:line="360" w:lineRule="auto"/>
        <w:rPr>
          <w:color w:val="FF0000"/>
        </w:rPr>
      </w:pPr>
      <w:r w:rsidRPr="002C423A">
        <w:rPr>
          <w:color w:val="FF0000"/>
        </w:rPr>
        <w:t>[tag]</w:t>
      </w:r>
    </w:p>
    <w:p w14:paraId="4271CF23" w14:textId="491F8ED0" w:rsidR="00ED6B2A" w:rsidRPr="002C423A" w:rsidRDefault="00ED6B2A" w:rsidP="00ED6B2A">
      <w:pPr>
        <w:spacing w:line="360" w:lineRule="auto"/>
        <w:rPr>
          <w:b/>
          <w:bCs/>
        </w:rPr>
      </w:pPr>
      <w:r w:rsidRPr="002C423A">
        <w:rPr>
          <w:b/>
          <w:bCs/>
        </w:rPr>
        <w:t>Innovation Station</w:t>
      </w:r>
    </w:p>
    <w:p w14:paraId="3378C59D" w14:textId="57FD8762" w:rsidR="00ED6B2A" w:rsidRDefault="00ED6B2A" w:rsidP="00ED6B2A">
      <w:pPr>
        <w:spacing w:line="360" w:lineRule="auto"/>
      </w:pPr>
    </w:p>
    <w:p w14:paraId="343FA18E" w14:textId="5185B066" w:rsidR="00ED6B2A" w:rsidRPr="002C423A" w:rsidRDefault="00ED6B2A" w:rsidP="002C423A">
      <w:pPr>
        <w:spacing w:line="360" w:lineRule="auto"/>
        <w:rPr>
          <w:color w:val="FF0000"/>
        </w:rPr>
      </w:pPr>
      <w:r w:rsidRPr="002C423A">
        <w:rPr>
          <w:color w:val="FF0000"/>
        </w:rPr>
        <w:t>[hed]</w:t>
      </w:r>
    </w:p>
    <w:p w14:paraId="4F12736B" w14:textId="136B19E8" w:rsidR="00FD09DF" w:rsidRPr="002C423A" w:rsidRDefault="003323EF" w:rsidP="002C423A">
      <w:pPr>
        <w:spacing w:line="360" w:lineRule="auto"/>
        <w:rPr>
          <w:b/>
          <w:bCs/>
        </w:rPr>
      </w:pPr>
      <w:r w:rsidRPr="002C423A">
        <w:rPr>
          <w:b/>
          <w:bCs/>
        </w:rPr>
        <w:t>Ag</w:t>
      </w:r>
      <w:r w:rsidR="00093BD5">
        <w:rPr>
          <w:b/>
          <w:bCs/>
        </w:rPr>
        <w:t>t</w:t>
      </w:r>
      <w:r w:rsidRPr="002C423A">
        <w:rPr>
          <w:b/>
          <w:bCs/>
        </w:rPr>
        <w:t xml:space="preserve">ech’s </w:t>
      </w:r>
      <w:r w:rsidR="00ED6B2A">
        <w:rPr>
          <w:b/>
          <w:bCs/>
        </w:rPr>
        <w:t>i</w:t>
      </w:r>
      <w:r w:rsidRPr="002C423A">
        <w:rPr>
          <w:b/>
          <w:bCs/>
        </w:rPr>
        <w:t xml:space="preserve">nnovation </w:t>
      </w:r>
      <w:r w:rsidR="00ED6B2A">
        <w:rPr>
          <w:b/>
          <w:bCs/>
        </w:rPr>
        <w:t>o</w:t>
      </w:r>
      <w:r w:rsidRPr="002C423A">
        <w:rPr>
          <w:b/>
          <w:bCs/>
        </w:rPr>
        <w:t>pportunities</w:t>
      </w:r>
    </w:p>
    <w:p w14:paraId="1B2A41E9" w14:textId="77777777" w:rsidR="00D30199" w:rsidRPr="00ED6B2A" w:rsidRDefault="00D30199" w:rsidP="002C423A">
      <w:pPr>
        <w:spacing w:line="360" w:lineRule="auto"/>
        <w:rPr>
          <w:color w:val="333333"/>
          <w:shd w:val="clear" w:color="auto" w:fill="FFFFFF"/>
        </w:rPr>
      </w:pPr>
    </w:p>
    <w:p w14:paraId="109A3904" w14:textId="29B544CD" w:rsidR="00ED6B2A" w:rsidRDefault="00ED6B2A" w:rsidP="00ED6B2A">
      <w:pPr>
        <w:spacing w:line="360" w:lineRule="auto"/>
        <w:rPr>
          <w:color w:val="333333"/>
          <w:shd w:val="clear" w:color="auto" w:fill="FFFFFF"/>
        </w:rPr>
      </w:pPr>
      <w:r>
        <w:rPr>
          <w:color w:val="333333"/>
          <w:shd w:val="clear" w:color="auto" w:fill="FFFFFF"/>
        </w:rPr>
        <w:t>[Byline]</w:t>
      </w:r>
    </w:p>
    <w:p w14:paraId="003E31EF" w14:textId="7F6D61A2" w:rsidR="002A793F" w:rsidRPr="00ED6B2A" w:rsidRDefault="002A793F" w:rsidP="002C423A">
      <w:pPr>
        <w:spacing w:line="360" w:lineRule="auto"/>
        <w:rPr>
          <w:color w:val="333333"/>
          <w:shd w:val="clear" w:color="auto" w:fill="FFFFFF"/>
        </w:rPr>
      </w:pPr>
      <w:r w:rsidRPr="00ED6B2A">
        <w:rPr>
          <w:color w:val="333333"/>
          <w:shd w:val="clear" w:color="auto" w:fill="FFFFFF"/>
        </w:rPr>
        <w:t>By Charles E. Potts</w:t>
      </w:r>
      <w:r w:rsidR="00ED6B2A">
        <w:rPr>
          <w:color w:val="333333"/>
          <w:shd w:val="clear" w:color="auto" w:fill="FFFFFF"/>
        </w:rPr>
        <w:t>, ICBA</w:t>
      </w:r>
    </w:p>
    <w:p w14:paraId="5473E1D6" w14:textId="31EEDD9C" w:rsidR="002A793F" w:rsidRDefault="002A793F">
      <w:pPr>
        <w:spacing w:line="360" w:lineRule="auto"/>
        <w:rPr>
          <w:color w:val="333333"/>
          <w:shd w:val="clear" w:color="auto" w:fill="FFFFFF"/>
        </w:rPr>
      </w:pPr>
    </w:p>
    <w:p w14:paraId="33B883D0" w14:textId="158F2351" w:rsidR="00093BD5" w:rsidRPr="00ED6B2A" w:rsidRDefault="00093BD5" w:rsidP="002C423A">
      <w:pPr>
        <w:spacing w:line="360" w:lineRule="auto"/>
        <w:rPr>
          <w:color w:val="333333"/>
          <w:shd w:val="clear" w:color="auto" w:fill="FFFFFF"/>
        </w:rPr>
      </w:pPr>
      <w:r>
        <w:rPr>
          <w:color w:val="333333"/>
          <w:shd w:val="clear" w:color="auto" w:fill="FFFFFF"/>
        </w:rPr>
        <w:t>[body]</w:t>
      </w:r>
    </w:p>
    <w:p w14:paraId="1E1A01B0" w14:textId="5766BC0E" w:rsidR="005866EB" w:rsidRPr="00ED6B2A" w:rsidRDefault="0052572B" w:rsidP="002C423A">
      <w:pPr>
        <w:spacing w:line="360" w:lineRule="auto"/>
        <w:rPr>
          <w:color w:val="333333"/>
          <w:shd w:val="clear" w:color="auto" w:fill="FFFFFF"/>
        </w:rPr>
      </w:pPr>
      <w:r w:rsidRPr="00ED6B2A">
        <w:rPr>
          <w:color w:val="333333"/>
          <w:shd w:val="clear" w:color="auto" w:fill="FFFFFF"/>
        </w:rPr>
        <w:t xml:space="preserve">The COVID-19 pandemic has placed unprecedented stress on food supply chains, with bottlenecks in farm labor, processing, transport and logistics, according </w:t>
      </w:r>
      <w:r w:rsidR="00501ABC" w:rsidRPr="00ED6B2A">
        <w:rPr>
          <w:color w:val="333333"/>
          <w:shd w:val="clear" w:color="auto" w:fill="FFFFFF"/>
        </w:rPr>
        <w:t xml:space="preserve">to </w:t>
      </w:r>
      <w:r w:rsidRPr="00ED6B2A">
        <w:rPr>
          <w:color w:val="333333"/>
          <w:shd w:val="clear" w:color="auto" w:fill="FFFFFF"/>
        </w:rPr>
        <w:t>the Organization for Economic Cooperation and Development</w:t>
      </w:r>
      <w:r w:rsidR="00093BD5">
        <w:rPr>
          <w:color w:val="333333"/>
          <w:shd w:val="clear" w:color="auto" w:fill="FFFFFF"/>
        </w:rPr>
        <w:t>, and</w:t>
      </w:r>
      <w:r w:rsidRPr="00ED6B2A">
        <w:rPr>
          <w:color w:val="333333"/>
          <w:shd w:val="clear" w:color="auto" w:fill="FFFFFF"/>
        </w:rPr>
        <w:t xml:space="preserve"> these challenges show no signs of letting up. Against this backdrop, </w:t>
      </w:r>
      <w:r w:rsidR="00093BD5">
        <w:rPr>
          <w:color w:val="333333"/>
          <w:shd w:val="clear" w:color="auto" w:fill="FFFFFF"/>
        </w:rPr>
        <w:t>a</w:t>
      </w:r>
      <w:r w:rsidR="00093BD5" w:rsidRPr="00ED6B2A">
        <w:rPr>
          <w:color w:val="333333"/>
          <w:shd w:val="clear" w:color="auto" w:fill="FFFFFF"/>
        </w:rPr>
        <w:t>g</w:t>
      </w:r>
      <w:r w:rsidR="00093BD5">
        <w:rPr>
          <w:color w:val="333333"/>
          <w:shd w:val="clear" w:color="auto" w:fill="FFFFFF"/>
        </w:rPr>
        <w:t>t</w:t>
      </w:r>
      <w:r w:rsidR="00093BD5" w:rsidRPr="00ED6B2A">
        <w:rPr>
          <w:color w:val="333333"/>
          <w:shd w:val="clear" w:color="auto" w:fill="FFFFFF"/>
        </w:rPr>
        <w:t>ech</w:t>
      </w:r>
      <w:r w:rsidR="0050509E" w:rsidRPr="00ED6B2A">
        <w:rPr>
          <w:color w:val="333333"/>
          <w:shd w:val="clear" w:color="auto" w:fill="FFFFFF"/>
        </w:rPr>
        <w:t>—the application of technology to every aspect of the food production process</w:t>
      </w:r>
      <w:r w:rsidR="00093BD5">
        <w:rPr>
          <w:color w:val="333333"/>
          <w:shd w:val="clear" w:color="auto" w:fill="FFFFFF"/>
        </w:rPr>
        <w:t>,</w:t>
      </w:r>
      <w:r w:rsidR="0050509E" w:rsidRPr="00ED6B2A">
        <w:rPr>
          <w:color w:val="333333"/>
          <w:shd w:val="clear" w:color="auto" w:fill="FFFFFF"/>
        </w:rPr>
        <w:t xml:space="preserve"> from farm to table—is </w:t>
      </w:r>
      <w:r w:rsidR="00427EDD" w:rsidRPr="00ED6B2A">
        <w:rPr>
          <w:color w:val="333333"/>
          <w:shd w:val="clear" w:color="auto" w:fill="FFFFFF"/>
        </w:rPr>
        <w:t xml:space="preserve">growing </w:t>
      </w:r>
      <w:r w:rsidR="0050509E" w:rsidRPr="00ED6B2A">
        <w:rPr>
          <w:color w:val="333333"/>
          <w:shd w:val="clear" w:color="auto" w:fill="FFFFFF"/>
        </w:rPr>
        <w:t>in importance</w:t>
      </w:r>
      <w:r w:rsidR="00935413" w:rsidRPr="00ED6B2A">
        <w:rPr>
          <w:color w:val="333333"/>
          <w:shd w:val="clear" w:color="auto" w:fill="FFFFFF"/>
        </w:rPr>
        <w:t xml:space="preserve"> </w:t>
      </w:r>
      <w:r w:rsidR="00427EDD" w:rsidRPr="00ED6B2A">
        <w:rPr>
          <w:color w:val="333333"/>
          <w:shd w:val="clear" w:color="auto" w:fill="FFFFFF"/>
        </w:rPr>
        <w:t>to</w:t>
      </w:r>
      <w:r w:rsidR="00935413" w:rsidRPr="00ED6B2A">
        <w:rPr>
          <w:color w:val="333333"/>
          <w:shd w:val="clear" w:color="auto" w:fill="FFFFFF"/>
        </w:rPr>
        <w:t xml:space="preserve"> the mission of </w:t>
      </w:r>
      <w:r w:rsidR="001C6825" w:rsidRPr="00ED6B2A">
        <w:rPr>
          <w:color w:val="333333"/>
          <w:shd w:val="clear" w:color="auto" w:fill="FFFFFF"/>
        </w:rPr>
        <w:t>ICBA</w:t>
      </w:r>
      <w:r w:rsidRPr="00ED6B2A">
        <w:rPr>
          <w:color w:val="333333"/>
          <w:shd w:val="clear" w:color="auto" w:fill="FFFFFF"/>
        </w:rPr>
        <w:t xml:space="preserve"> and community banks</w:t>
      </w:r>
      <w:r w:rsidR="001C6825" w:rsidRPr="00ED6B2A">
        <w:rPr>
          <w:color w:val="333333"/>
          <w:shd w:val="clear" w:color="auto" w:fill="FFFFFF"/>
        </w:rPr>
        <w:t>.</w:t>
      </w:r>
    </w:p>
    <w:p w14:paraId="59FEA2B5" w14:textId="5230ABA7" w:rsidR="00427EDD" w:rsidRPr="00ED6B2A" w:rsidRDefault="003323EF" w:rsidP="002C423A">
      <w:pPr>
        <w:spacing w:line="360" w:lineRule="auto"/>
        <w:rPr>
          <w:color w:val="212529"/>
          <w:shd w:val="clear" w:color="auto" w:fill="FFFFFF"/>
        </w:rPr>
      </w:pPr>
      <w:r w:rsidRPr="00ED6B2A">
        <w:t>As</w:t>
      </w:r>
      <w:r w:rsidR="00745824" w:rsidRPr="00ED6B2A">
        <w:t xml:space="preserve"> ICBA reported in March of this year, </w:t>
      </w:r>
      <w:r w:rsidR="000B0569" w:rsidRPr="00ED6B2A">
        <w:rPr>
          <w:color w:val="212529"/>
          <w:shd w:val="clear" w:color="auto" w:fill="FFFFFF"/>
        </w:rPr>
        <w:t>c</w:t>
      </w:r>
      <w:r w:rsidRPr="00ED6B2A">
        <w:rPr>
          <w:color w:val="212529"/>
          <w:shd w:val="clear" w:color="auto" w:fill="FFFFFF"/>
        </w:rPr>
        <w:t xml:space="preserve">ommunity banks </w:t>
      </w:r>
      <w:r w:rsidR="00093BD5">
        <w:rPr>
          <w:color w:val="212529"/>
          <w:shd w:val="clear" w:color="auto" w:fill="FFFFFF"/>
        </w:rPr>
        <w:t>with less than</w:t>
      </w:r>
      <w:r w:rsidR="00093BD5" w:rsidRPr="00ED6B2A">
        <w:rPr>
          <w:color w:val="212529"/>
          <w:shd w:val="clear" w:color="auto" w:fill="FFFFFF"/>
        </w:rPr>
        <w:t xml:space="preserve"> </w:t>
      </w:r>
      <w:r w:rsidRPr="00ED6B2A">
        <w:rPr>
          <w:color w:val="212529"/>
          <w:shd w:val="clear" w:color="auto" w:fill="FFFFFF"/>
        </w:rPr>
        <w:t>$10 billion in assets provide 80</w:t>
      </w:r>
      <w:r w:rsidR="00ED6B2A">
        <w:rPr>
          <w:color w:val="212529"/>
          <w:shd w:val="clear" w:color="auto" w:fill="FFFFFF"/>
        </w:rPr>
        <w:t>%</w:t>
      </w:r>
      <w:r w:rsidRPr="00ED6B2A">
        <w:rPr>
          <w:color w:val="212529"/>
          <w:shd w:val="clear" w:color="auto" w:fill="FFFFFF"/>
        </w:rPr>
        <w:t xml:space="preserve"> of all </w:t>
      </w:r>
      <w:r w:rsidR="00C73071" w:rsidRPr="00ED6B2A">
        <w:rPr>
          <w:color w:val="212529"/>
          <w:shd w:val="clear" w:color="auto" w:fill="FFFFFF"/>
        </w:rPr>
        <w:t xml:space="preserve">ag </w:t>
      </w:r>
      <w:r w:rsidRPr="00ED6B2A">
        <w:rPr>
          <w:color w:val="212529"/>
          <w:shd w:val="clear" w:color="auto" w:fill="FFFFFF"/>
        </w:rPr>
        <w:t xml:space="preserve">financing </w:t>
      </w:r>
      <w:r w:rsidR="00C73071" w:rsidRPr="00ED6B2A">
        <w:rPr>
          <w:color w:val="212529"/>
          <w:shd w:val="clear" w:color="auto" w:fill="FFFFFF"/>
        </w:rPr>
        <w:t>and</w:t>
      </w:r>
      <w:r w:rsidRPr="00ED6B2A">
        <w:rPr>
          <w:color w:val="212529"/>
          <w:shd w:val="clear" w:color="auto" w:fill="FFFFFF"/>
        </w:rPr>
        <w:t xml:space="preserve"> are often the catalysts for new and expanded business opportunities within their communities. </w:t>
      </w:r>
      <w:r w:rsidR="00501ABC" w:rsidRPr="00ED6B2A">
        <w:rPr>
          <w:color w:val="212529"/>
          <w:shd w:val="clear" w:color="auto" w:fill="FFFFFF"/>
        </w:rPr>
        <w:t>In fact, c</w:t>
      </w:r>
      <w:r w:rsidRPr="00ED6B2A">
        <w:rPr>
          <w:color w:val="212529"/>
          <w:shd w:val="clear" w:color="auto" w:fill="FFFFFF"/>
        </w:rPr>
        <w:t xml:space="preserve">ommunity banks provide </w:t>
      </w:r>
      <w:r w:rsidR="00093BD5" w:rsidRPr="00ED6B2A">
        <w:rPr>
          <w:color w:val="212529"/>
          <w:shd w:val="clear" w:color="auto" w:fill="FFFFFF"/>
        </w:rPr>
        <w:t>a</w:t>
      </w:r>
      <w:r w:rsidR="00093BD5">
        <w:rPr>
          <w:color w:val="212529"/>
          <w:shd w:val="clear" w:color="auto" w:fill="FFFFFF"/>
        </w:rPr>
        <w:t>bout</w:t>
      </w:r>
      <w:r w:rsidR="00093BD5" w:rsidRPr="00ED6B2A">
        <w:rPr>
          <w:color w:val="212529"/>
          <w:shd w:val="clear" w:color="auto" w:fill="FFFFFF"/>
        </w:rPr>
        <w:t xml:space="preserve"> </w:t>
      </w:r>
      <w:r w:rsidRPr="00ED6B2A">
        <w:rPr>
          <w:color w:val="212529"/>
          <w:shd w:val="clear" w:color="auto" w:fill="FFFFFF"/>
        </w:rPr>
        <w:t>$155 billion in agriculture loans.</w:t>
      </w:r>
    </w:p>
    <w:p w14:paraId="21AB2196" w14:textId="265804B5" w:rsidR="00942B47" w:rsidRPr="00ED6B2A" w:rsidRDefault="003323EF" w:rsidP="002C423A">
      <w:pPr>
        <w:spacing w:line="360" w:lineRule="auto"/>
        <w:rPr>
          <w:color w:val="212529"/>
          <w:shd w:val="clear" w:color="auto" w:fill="FFFFFF"/>
        </w:rPr>
      </w:pPr>
      <w:r w:rsidRPr="00ED6B2A">
        <w:rPr>
          <w:color w:val="212529"/>
          <w:shd w:val="clear" w:color="auto" w:fill="FFFFFF"/>
        </w:rPr>
        <w:t>Despite the demand, the loan process in the agricultural sector remains predominantly manual</w:t>
      </w:r>
      <w:r w:rsidR="00093BD5">
        <w:rPr>
          <w:color w:val="212529"/>
          <w:shd w:val="clear" w:color="auto" w:fill="FFFFFF"/>
        </w:rPr>
        <w:t>. This presents</w:t>
      </w:r>
      <w:r w:rsidR="00D15C5B" w:rsidRPr="00ED6B2A">
        <w:rPr>
          <w:color w:val="212529"/>
          <w:shd w:val="clear" w:color="auto" w:fill="FFFFFF"/>
        </w:rPr>
        <w:t xml:space="preserve"> an opportunity to apply </w:t>
      </w:r>
      <w:r w:rsidR="00642EEF" w:rsidRPr="00ED6B2A">
        <w:rPr>
          <w:color w:val="212529"/>
          <w:shd w:val="clear" w:color="auto" w:fill="FFFFFF"/>
        </w:rPr>
        <w:t xml:space="preserve">advances achieved in </w:t>
      </w:r>
      <w:r w:rsidR="00BE322B" w:rsidRPr="00ED6B2A">
        <w:rPr>
          <w:color w:val="212529"/>
          <w:shd w:val="clear" w:color="auto" w:fill="FFFFFF"/>
        </w:rPr>
        <w:t xml:space="preserve">other </w:t>
      </w:r>
      <w:r w:rsidR="00D15C5B" w:rsidRPr="00ED6B2A">
        <w:rPr>
          <w:color w:val="212529"/>
          <w:shd w:val="clear" w:color="auto" w:fill="FFFFFF"/>
        </w:rPr>
        <w:t xml:space="preserve">lending </w:t>
      </w:r>
      <w:r w:rsidR="00EE65A4" w:rsidRPr="00ED6B2A">
        <w:rPr>
          <w:color w:val="212529"/>
          <w:shd w:val="clear" w:color="auto" w:fill="FFFFFF"/>
        </w:rPr>
        <w:t xml:space="preserve">areas, especially commercial lending, </w:t>
      </w:r>
      <w:r w:rsidR="00BE322B" w:rsidRPr="00ED6B2A">
        <w:rPr>
          <w:color w:val="212529"/>
          <w:shd w:val="clear" w:color="auto" w:fill="FFFFFF"/>
        </w:rPr>
        <w:t xml:space="preserve">to </w:t>
      </w:r>
      <w:r w:rsidR="00EE65A4" w:rsidRPr="00ED6B2A">
        <w:rPr>
          <w:color w:val="212529"/>
          <w:shd w:val="clear" w:color="auto" w:fill="FFFFFF"/>
        </w:rPr>
        <w:t>transform</w:t>
      </w:r>
      <w:r w:rsidR="00D15C5B" w:rsidRPr="00ED6B2A">
        <w:rPr>
          <w:color w:val="212529"/>
          <w:shd w:val="clear" w:color="auto" w:fill="FFFFFF"/>
        </w:rPr>
        <w:t xml:space="preserve"> ag lending</w:t>
      </w:r>
      <w:r w:rsidR="00642EEF" w:rsidRPr="00ED6B2A">
        <w:rPr>
          <w:color w:val="212529"/>
          <w:shd w:val="clear" w:color="auto" w:fill="FFFFFF"/>
        </w:rPr>
        <w:t>.</w:t>
      </w:r>
      <w:r w:rsidR="00EE65A4" w:rsidRPr="00ED6B2A">
        <w:rPr>
          <w:color w:val="212529"/>
          <w:shd w:val="clear" w:color="auto" w:fill="FFFFFF"/>
        </w:rPr>
        <w:t xml:space="preserve"> </w:t>
      </w:r>
      <w:r w:rsidR="0032155C" w:rsidRPr="00ED6B2A">
        <w:rPr>
          <w:color w:val="212529"/>
          <w:shd w:val="clear" w:color="auto" w:fill="FFFFFF"/>
        </w:rPr>
        <w:tab/>
      </w:r>
    </w:p>
    <w:p w14:paraId="4508FE2D" w14:textId="2B81C4A7" w:rsidR="00FE19AB" w:rsidRPr="00ED6B2A" w:rsidRDefault="003323EF" w:rsidP="002C423A">
      <w:pPr>
        <w:spacing w:line="360" w:lineRule="auto"/>
        <w:rPr>
          <w:color w:val="212529"/>
          <w:shd w:val="clear" w:color="auto" w:fill="FFFFFF"/>
        </w:rPr>
      </w:pPr>
      <w:r w:rsidRPr="00ED6B2A">
        <w:rPr>
          <w:color w:val="212529"/>
          <w:shd w:val="clear" w:color="auto" w:fill="FFFFFF"/>
        </w:rPr>
        <w:t>For example, by applying artificial intelligence (AI) to analyze data and create standardized pr</w:t>
      </w:r>
      <w:r w:rsidR="004033C0" w:rsidRPr="00ED6B2A">
        <w:rPr>
          <w:color w:val="212529"/>
          <w:shd w:val="clear" w:color="auto" w:fill="FFFFFF"/>
        </w:rPr>
        <w:t>ocesses tha</w:t>
      </w:r>
      <w:r w:rsidRPr="00ED6B2A">
        <w:rPr>
          <w:color w:val="212529"/>
          <w:shd w:val="clear" w:color="auto" w:fill="FFFFFF"/>
        </w:rPr>
        <w:t>t</w:t>
      </w:r>
      <w:r w:rsidR="004033C0" w:rsidRPr="00ED6B2A">
        <w:rPr>
          <w:color w:val="212529"/>
          <w:shd w:val="clear" w:color="auto" w:fill="FFFFFF"/>
        </w:rPr>
        <w:t xml:space="preserve"> include benchmarking and lending risk assessments, </w:t>
      </w:r>
      <w:r w:rsidRPr="00ED6B2A">
        <w:rPr>
          <w:color w:val="212529"/>
          <w:shd w:val="clear" w:color="auto" w:fill="FFFFFF"/>
        </w:rPr>
        <w:t>community banks</w:t>
      </w:r>
      <w:r w:rsidR="004033C0" w:rsidRPr="00ED6B2A">
        <w:rPr>
          <w:color w:val="212529"/>
          <w:shd w:val="clear" w:color="auto" w:fill="FFFFFF"/>
        </w:rPr>
        <w:t xml:space="preserve"> can enhance the effectiveness and efficiency of the loan process for </w:t>
      </w:r>
      <w:r w:rsidRPr="00ED6B2A">
        <w:rPr>
          <w:color w:val="212529"/>
          <w:shd w:val="clear" w:color="auto" w:fill="FFFFFF"/>
        </w:rPr>
        <w:t>the agricultural community.</w:t>
      </w:r>
      <w:r w:rsidR="004033C0" w:rsidRPr="00ED6B2A">
        <w:rPr>
          <w:color w:val="212529"/>
          <w:shd w:val="clear" w:color="auto" w:fill="FFFFFF"/>
        </w:rPr>
        <w:t xml:space="preserve"> </w:t>
      </w:r>
      <w:r w:rsidR="004033C0" w:rsidRPr="00ED6B2A">
        <w:rPr>
          <w:color w:val="212529"/>
          <w:shd w:val="clear" w:color="auto" w:fill="FFFFFF"/>
        </w:rPr>
        <w:lastRenderedPageBreak/>
        <w:t xml:space="preserve">Innovations like these, applied to the farming industry, can accelerate the lending process for farmers, saving them time and money. </w:t>
      </w:r>
    </w:p>
    <w:p w14:paraId="43B3F3CA" w14:textId="48C4432F" w:rsidR="00CC1AD6" w:rsidRPr="00ED6B2A" w:rsidRDefault="00501ABC" w:rsidP="002C423A">
      <w:pPr>
        <w:spacing w:line="360" w:lineRule="auto"/>
      </w:pPr>
      <w:r w:rsidRPr="00ED6B2A">
        <w:rPr>
          <w:color w:val="212529"/>
          <w:shd w:val="clear" w:color="auto" w:fill="FFFFFF"/>
        </w:rPr>
        <w:t>Often, community banks sit in the middle of the ecosystem, providing point solutions to various participants in the agricultural process—from the farmer and grower to the processing and transportation sides. The opportunity to create a cohesive end-to-end supply chain and enterprise</w:t>
      </w:r>
      <w:r w:rsidR="00093BD5">
        <w:rPr>
          <w:color w:val="212529"/>
          <w:shd w:val="clear" w:color="auto" w:fill="FFFFFF"/>
        </w:rPr>
        <w:t xml:space="preserve"> </w:t>
      </w:r>
      <w:r w:rsidRPr="00ED6B2A">
        <w:rPr>
          <w:color w:val="212529"/>
          <w:shd w:val="clear" w:color="auto" w:fill="FFFFFF"/>
        </w:rPr>
        <w:t>resource</w:t>
      </w:r>
      <w:r w:rsidR="00093BD5">
        <w:rPr>
          <w:color w:val="212529"/>
          <w:shd w:val="clear" w:color="auto" w:fill="FFFFFF"/>
        </w:rPr>
        <w:t xml:space="preserve"> </w:t>
      </w:r>
      <w:r w:rsidRPr="00ED6B2A">
        <w:rPr>
          <w:color w:val="212529"/>
          <w:shd w:val="clear" w:color="auto" w:fill="FFFFFF"/>
        </w:rPr>
        <w:t xml:space="preserve">planning system, </w:t>
      </w:r>
      <w:r w:rsidRPr="00ED6B2A">
        <w:t>where community banks can be the facilitators of moving money, removing friction and improving cash flow</w:t>
      </w:r>
      <w:r w:rsidR="0032155C" w:rsidRPr="00ED6B2A">
        <w:t>,</w:t>
      </w:r>
      <w:r w:rsidR="0076273C" w:rsidRPr="00ED6B2A">
        <w:t xml:space="preserve"> </w:t>
      </w:r>
      <w:r w:rsidRPr="00ED6B2A">
        <w:t xml:space="preserve">becomes a natural byproduct. </w:t>
      </w:r>
    </w:p>
    <w:p w14:paraId="0B177B23" w14:textId="31D39F43" w:rsidR="005C10B8" w:rsidRPr="00ED6B2A" w:rsidRDefault="00942B47" w:rsidP="002C423A">
      <w:pPr>
        <w:spacing w:line="360" w:lineRule="auto"/>
        <w:rPr>
          <w:color w:val="000000"/>
        </w:rPr>
      </w:pPr>
      <w:r w:rsidRPr="00ED6B2A">
        <w:t>Farmers and Merchants Bank in Milligan, Neb</w:t>
      </w:r>
      <w:r w:rsidR="00E13287" w:rsidRPr="00ED6B2A">
        <w:t>.,</w:t>
      </w:r>
      <w:r w:rsidRPr="00ED6B2A">
        <w:t xml:space="preserve"> </w:t>
      </w:r>
      <w:r w:rsidR="002426A6" w:rsidRPr="00ED6B2A">
        <w:t xml:space="preserve">serves as an example. Just before </w:t>
      </w:r>
      <w:r w:rsidR="00E13287" w:rsidRPr="00ED6B2A">
        <w:t>the pandemic</w:t>
      </w:r>
      <w:r w:rsidR="002426A6" w:rsidRPr="00ED6B2A">
        <w:t xml:space="preserve">, the </w:t>
      </w:r>
      <w:r w:rsidR="00093BD5">
        <w:t xml:space="preserve">$118 million-asset </w:t>
      </w:r>
      <w:r w:rsidR="002426A6" w:rsidRPr="00ED6B2A">
        <w:t xml:space="preserve">bank </w:t>
      </w:r>
      <w:r w:rsidRPr="00ED6B2A">
        <w:t>implemented remote signatures</w:t>
      </w:r>
      <w:r w:rsidR="002426A6" w:rsidRPr="00ED6B2A">
        <w:t xml:space="preserve">, empowering farmers to </w:t>
      </w:r>
      <w:r w:rsidR="009F3468" w:rsidRPr="00ED6B2A">
        <w:t>e</w:t>
      </w:r>
      <w:r w:rsidR="00E13287" w:rsidRPr="00ED6B2A">
        <w:t>-</w:t>
      </w:r>
      <w:r w:rsidR="009F3468" w:rsidRPr="00ED6B2A">
        <w:t>sign loan documents and return them electronically to the bank</w:t>
      </w:r>
      <w:r w:rsidRPr="00ED6B2A">
        <w:t xml:space="preserve">. </w:t>
      </w:r>
      <w:r w:rsidR="002426A6" w:rsidRPr="00ED6B2A">
        <w:t>About six months ago, the</w:t>
      </w:r>
      <w:r w:rsidRPr="00ED6B2A">
        <w:t xml:space="preserve"> bank also hired a remote loan officer who make</w:t>
      </w:r>
      <w:r w:rsidR="00A27154" w:rsidRPr="00ED6B2A">
        <w:t>s</w:t>
      </w:r>
      <w:r w:rsidRPr="00ED6B2A">
        <w:t xml:space="preserve"> “farm calls</w:t>
      </w:r>
      <w:r w:rsidR="00A27154" w:rsidRPr="00ED6B2A">
        <w:t>." The loan officer takes the paperwork to the farm</w:t>
      </w:r>
      <w:r w:rsidR="00E13287" w:rsidRPr="00ED6B2A">
        <w:t>er</w:t>
      </w:r>
      <w:r w:rsidR="00A27154" w:rsidRPr="00ED6B2A">
        <w:t xml:space="preserve"> </w:t>
      </w:r>
      <w:r w:rsidR="00E13287" w:rsidRPr="00ED6B2A">
        <w:t>and reviews it</w:t>
      </w:r>
      <w:r w:rsidR="00FD1AC8" w:rsidRPr="00ED6B2A">
        <w:t xml:space="preserve"> before </w:t>
      </w:r>
      <w:r w:rsidR="00A27154" w:rsidRPr="00ED6B2A">
        <w:t>scan</w:t>
      </w:r>
      <w:r w:rsidR="00FD1AC8" w:rsidRPr="00ED6B2A">
        <w:t>ning</w:t>
      </w:r>
      <w:r w:rsidR="00A27154" w:rsidRPr="00ED6B2A">
        <w:t xml:space="preserve"> and submit</w:t>
      </w:r>
      <w:r w:rsidR="00FD1AC8" w:rsidRPr="00ED6B2A">
        <w:t xml:space="preserve">ting </w:t>
      </w:r>
      <w:r w:rsidR="00A27154" w:rsidRPr="00ED6B2A">
        <w:t xml:space="preserve">the documents via secure email. </w:t>
      </w:r>
      <w:r w:rsidR="00093BD5">
        <w:t>T</w:t>
      </w:r>
      <w:r w:rsidRPr="00ED6B2A">
        <w:t xml:space="preserve">he bank is </w:t>
      </w:r>
      <w:r w:rsidR="00093BD5">
        <w:t xml:space="preserve">also </w:t>
      </w:r>
      <w:r w:rsidR="00E00100" w:rsidRPr="00ED6B2A">
        <w:rPr>
          <w:color w:val="000000"/>
        </w:rPr>
        <w:t>considering</w:t>
      </w:r>
      <w:r w:rsidRPr="00ED6B2A">
        <w:rPr>
          <w:color w:val="000000"/>
        </w:rPr>
        <w:t xml:space="preserve"> a video chat-based app that will allow </w:t>
      </w:r>
      <w:r w:rsidR="00093BD5">
        <w:rPr>
          <w:color w:val="000000"/>
        </w:rPr>
        <w:t>it</w:t>
      </w:r>
      <w:r w:rsidR="00093BD5" w:rsidRPr="00ED6B2A">
        <w:rPr>
          <w:color w:val="000000"/>
        </w:rPr>
        <w:t xml:space="preserve"> </w:t>
      </w:r>
      <w:r w:rsidRPr="00ED6B2A">
        <w:rPr>
          <w:color w:val="000000"/>
        </w:rPr>
        <w:t>to host secure virtual</w:t>
      </w:r>
      <w:r w:rsidR="006138FC" w:rsidRPr="00ED6B2A">
        <w:rPr>
          <w:color w:val="000000"/>
        </w:rPr>
        <w:t xml:space="preserve"> meetings</w:t>
      </w:r>
      <w:r w:rsidRPr="00ED6B2A">
        <w:rPr>
          <w:color w:val="000000"/>
        </w:rPr>
        <w:t>.</w:t>
      </w:r>
    </w:p>
    <w:p w14:paraId="3E9ED830" w14:textId="54F55F50" w:rsidR="00CE671C" w:rsidRPr="00ED6B2A" w:rsidRDefault="003323EF" w:rsidP="002C423A">
      <w:pPr>
        <w:spacing w:line="360" w:lineRule="auto"/>
      </w:pPr>
      <w:r w:rsidRPr="00ED6B2A">
        <w:rPr>
          <w:color w:val="000000"/>
        </w:rPr>
        <w:t xml:space="preserve">As opportunities in </w:t>
      </w:r>
      <w:r w:rsidR="00093BD5">
        <w:rPr>
          <w:color w:val="000000"/>
        </w:rPr>
        <w:t>a</w:t>
      </w:r>
      <w:r w:rsidR="00093BD5" w:rsidRPr="00ED6B2A">
        <w:rPr>
          <w:color w:val="000000"/>
        </w:rPr>
        <w:t>g</w:t>
      </w:r>
      <w:r w:rsidR="00093BD5">
        <w:rPr>
          <w:color w:val="000000"/>
        </w:rPr>
        <w:t>t</w:t>
      </w:r>
      <w:r w:rsidR="00093BD5" w:rsidRPr="00ED6B2A">
        <w:rPr>
          <w:color w:val="000000"/>
        </w:rPr>
        <w:t xml:space="preserve">ech </w:t>
      </w:r>
      <w:r w:rsidRPr="00ED6B2A">
        <w:rPr>
          <w:color w:val="000000"/>
        </w:rPr>
        <w:t>ripen,</w:t>
      </w:r>
      <w:r w:rsidR="006138FC" w:rsidRPr="00ED6B2A">
        <w:rPr>
          <w:color w:val="000000"/>
        </w:rPr>
        <w:t xml:space="preserve"> ICBA </w:t>
      </w:r>
      <w:r w:rsidR="00E00100" w:rsidRPr="00ED6B2A">
        <w:rPr>
          <w:color w:val="000000"/>
        </w:rPr>
        <w:t>is exploring</w:t>
      </w:r>
      <w:r w:rsidRPr="00ED6B2A">
        <w:rPr>
          <w:color w:val="000000"/>
        </w:rPr>
        <w:t xml:space="preserve"> innovations targeting this market segment. </w:t>
      </w:r>
      <w:r w:rsidRPr="00ED6B2A">
        <w:t xml:space="preserve">To that end, ICBA is asking its </w:t>
      </w:r>
      <w:r w:rsidR="00FD1AC8" w:rsidRPr="00ED6B2A">
        <w:t xml:space="preserve">community bank </w:t>
      </w:r>
      <w:r w:rsidRPr="00ED6B2A">
        <w:t xml:space="preserve">members to help identify potential </w:t>
      </w:r>
      <w:r w:rsidR="00093BD5">
        <w:t>a</w:t>
      </w:r>
      <w:r w:rsidR="00093BD5" w:rsidRPr="00ED6B2A">
        <w:t>g</w:t>
      </w:r>
      <w:r w:rsidR="00093BD5">
        <w:t>t</w:t>
      </w:r>
      <w:r w:rsidR="00093BD5" w:rsidRPr="00ED6B2A">
        <w:t xml:space="preserve">ech </w:t>
      </w:r>
      <w:r w:rsidRPr="00ED6B2A">
        <w:t xml:space="preserve">applicants for its 2023 ThinkTECH Accelerator Program. </w:t>
      </w:r>
    </w:p>
    <w:p w14:paraId="46F9D521" w14:textId="6456643D" w:rsidR="00F477CA" w:rsidRPr="00ED6B2A" w:rsidRDefault="00CE671C" w:rsidP="002C423A">
      <w:pPr>
        <w:spacing w:line="360" w:lineRule="auto"/>
      </w:pPr>
      <w:r w:rsidRPr="00ED6B2A">
        <w:t xml:space="preserve">Start by </w:t>
      </w:r>
      <w:r w:rsidR="003323EF" w:rsidRPr="00ED6B2A">
        <w:t>talk</w:t>
      </w:r>
      <w:r w:rsidRPr="00ED6B2A">
        <w:t>ing</w:t>
      </w:r>
      <w:r w:rsidR="003323EF" w:rsidRPr="00ED6B2A">
        <w:t xml:space="preserve"> to </w:t>
      </w:r>
      <w:r w:rsidR="002426A6" w:rsidRPr="00ED6B2A">
        <w:t xml:space="preserve">your </w:t>
      </w:r>
      <w:r w:rsidR="003323EF" w:rsidRPr="00ED6B2A">
        <w:t>agricultural customers</w:t>
      </w:r>
      <w:r w:rsidR="0025535F" w:rsidRPr="00ED6B2A">
        <w:t xml:space="preserve"> </w:t>
      </w:r>
      <w:r w:rsidR="002426A6" w:rsidRPr="00ED6B2A">
        <w:t>to</w:t>
      </w:r>
      <w:r w:rsidR="0025535F" w:rsidRPr="00ED6B2A">
        <w:t xml:space="preserve"> identify areas of friction, </w:t>
      </w:r>
      <w:r w:rsidR="004E1F7E" w:rsidRPr="00ED6B2A">
        <w:t>pain points</w:t>
      </w:r>
      <w:r w:rsidR="0025535F" w:rsidRPr="00ED6B2A">
        <w:t xml:space="preserve"> and </w:t>
      </w:r>
      <w:r w:rsidR="003323EF" w:rsidRPr="00ED6B2A">
        <w:t>opportunities to improve the speed and efficiency of the lending process. Then</w:t>
      </w:r>
      <w:r w:rsidR="002426A6" w:rsidRPr="00ED6B2A">
        <w:t>,</w:t>
      </w:r>
      <w:r w:rsidR="003323EF" w:rsidRPr="00ED6B2A">
        <w:t xml:space="preserve"> share that information with ICBA so we can find and source potential</w:t>
      </w:r>
      <w:r w:rsidR="00FD09DF" w:rsidRPr="00ED6B2A">
        <w:t xml:space="preserve"> </w:t>
      </w:r>
      <w:r w:rsidR="002426A6" w:rsidRPr="00ED6B2A">
        <w:t>solutions and providers.</w:t>
      </w:r>
    </w:p>
    <w:p w14:paraId="184F8ACC" w14:textId="615072BE" w:rsidR="00BD3ABA" w:rsidRPr="00ED6B2A" w:rsidRDefault="003323EF" w:rsidP="002C423A">
      <w:pPr>
        <w:spacing w:line="360" w:lineRule="auto"/>
      </w:pPr>
      <w:r w:rsidRPr="00ED6B2A">
        <w:t>No technology barrier should preclude a farmer and lender from improving the speed, efficiency</w:t>
      </w:r>
      <w:r w:rsidR="00ED6B2A">
        <w:t xml:space="preserve"> </w:t>
      </w:r>
      <w:r w:rsidRPr="00ED6B2A">
        <w:t>and effecti</w:t>
      </w:r>
      <w:r w:rsidR="00F00CC4" w:rsidRPr="00ED6B2A">
        <w:t>veness</w:t>
      </w:r>
      <w:r w:rsidRPr="00ED6B2A">
        <w:t xml:space="preserve"> of </w:t>
      </w:r>
      <w:r w:rsidR="00AE67AD" w:rsidRPr="00ED6B2A">
        <w:t>the</w:t>
      </w:r>
      <w:r w:rsidRPr="00ED6B2A">
        <w:t xml:space="preserve"> lending process. </w:t>
      </w:r>
      <w:r w:rsidR="00AE67AD" w:rsidRPr="00ED6B2A">
        <w:t>The d</w:t>
      </w:r>
      <w:r w:rsidR="005F4D8A" w:rsidRPr="00ED6B2A">
        <w:t xml:space="preserve">emand is </w:t>
      </w:r>
      <w:r w:rsidR="007B52CD" w:rsidRPr="00ED6B2A">
        <w:t>evident</w:t>
      </w:r>
      <w:r w:rsidR="00C0295A" w:rsidRPr="00ED6B2A">
        <w:t xml:space="preserve">. </w:t>
      </w:r>
      <w:r w:rsidR="007B52CD" w:rsidRPr="00ED6B2A">
        <w:t>F</w:t>
      </w:r>
      <w:r w:rsidR="00AE67AD" w:rsidRPr="00ED6B2A">
        <w:t xml:space="preserve">inding innovative ways to harness </w:t>
      </w:r>
      <w:r w:rsidR="007B52CD" w:rsidRPr="00ED6B2A">
        <w:t xml:space="preserve">what we know to </w:t>
      </w:r>
      <w:r w:rsidR="00AE67AD" w:rsidRPr="00ED6B2A">
        <w:t xml:space="preserve">provide more efficient and effective approaches to addressing the needs of everybody involved in the agricultural ecosystem is the shining light of opportunity. </w:t>
      </w:r>
    </w:p>
    <w:p w14:paraId="3E8C62CA" w14:textId="3C6DA598" w:rsidR="001D3E53" w:rsidRPr="00ED6B2A" w:rsidRDefault="001D3E53" w:rsidP="002C423A">
      <w:pPr>
        <w:spacing w:line="360" w:lineRule="auto"/>
      </w:pPr>
    </w:p>
    <w:p w14:paraId="55769069" w14:textId="664EC328" w:rsidR="002A793F" w:rsidRDefault="002A793F" w:rsidP="00ED6B2A">
      <w:pPr>
        <w:spacing w:line="360" w:lineRule="auto"/>
        <w:rPr>
          <w:b/>
          <w:bCs/>
        </w:rPr>
      </w:pPr>
      <w:r w:rsidRPr="002C423A">
        <w:rPr>
          <w:b/>
          <w:bCs/>
        </w:rPr>
        <w:t>Charles Potts</w:t>
      </w:r>
      <w:r w:rsidRPr="002C423A">
        <w:rPr>
          <w:b/>
          <w:bCs/>
          <w:i/>
          <w:iCs/>
        </w:rPr>
        <w:t xml:space="preserve"> </w:t>
      </w:r>
      <w:r w:rsidR="00ED6B2A" w:rsidRPr="002C423A">
        <w:rPr>
          <w:b/>
          <w:bCs/>
          <w:i/>
          <w:iCs/>
        </w:rPr>
        <w:t>(</w:t>
      </w:r>
      <w:hyperlink r:id="rId8" w:history="1">
        <w:r w:rsidR="00ED6B2A" w:rsidRPr="002C423A">
          <w:rPr>
            <w:rStyle w:val="Hyperlink"/>
            <w:b/>
            <w:bCs/>
            <w:i/>
            <w:iCs/>
          </w:rPr>
          <w:t>charles.potts@icba.org</w:t>
        </w:r>
      </w:hyperlink>
      <w:r w:rsidR="00ED6B2A" w:rsidRPr="002C423A">
        <w:rPr>
          <w:b/>
          <w:bCs/>
          <w:i/>
          <w:iCs/>
        </w:rPr>
        <w:t xml:space="preserve">) </w:t>
      </w:r>
      <w:r w:rsidRPr="002C423A">
        <w:rPr>
          <w:b/>
          <w:bCs/>
        </w:rPr>
        <w:t>is ICBA executive vice president and chief innovation officer.</w:t>
      </w:r>
    </w:p>
    <w:p w14:paraId="0B324C41" w14:textId="3737945C" w:rsidR="00FF113A" w:rsidRPr="002C423A" w:rsidRDefault="00FF113A" w:rsidP="002C423A">
      <w:pPr>
        <w:spacing w:line="360" w:lineRule="auto"/>
        <w:rPr>
          <w:color w:val="FF0000"/>
        </w:rPr>
      </w:pPr>
      <w:r w:rsidRPr="002C423A">
        <w:rPr>
          <w:color w:val="FF0000"/>
        </w:rPr>
        <w:t>[ends]</w:t>
      </w:r>
    </w:p>
    <w:sectPr w:rsidR="00FF113A" w:rsidRPr="002C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71BA"/>
    <w:multiLevelType w:val="hybridMultilevel"/>
    <w:tmpl w:val="95BA8B18"/>
    <w:lvl w:ilvl="0" w:tplc="9F40CA90">
      <w:start w:val="1"/>
      <w:numFmt w:val="decimal"/>
      <w:lvlText w:val="%1."/>
      <w:lvlJc w:val="left"/>
      <w:pPr>
        <w:ind w:left="720" w:hanging="360"/>
      </w:pPr>
      <w:rPr>
        <w:rFonts w:hint="default"/>
      </w:rPr>
    </w:lvl>
    <w:lvl w:ilvl="1" w:tplc="8856B380" w:tentative="1">
      <w:start w:val="1"/>
      <w:numFmt w:val="lowerLetter"/>
      <w:lvlText w:val="%2."/>
      <w:lvlJc w:val="left"/>
      <w:pPr>
        <w:ind w:left="1440" w:hanging="360"/>
      </w:pPr>
    </w:lvl>
    <w:lvl w:ilvl="2" w:tplc="E266FCEA" w:tentative="1">
      <w:start w:val="1"/>
      <w:numFmt w:val="lowerRoman"/>
      <w:lvlText w:val="%3."/>
      <w:lvlJc w:val="right"/>
      <w:pPr>
        <w:ind w:left="2160" w:hanging="180"/>
      </w:pPr>
    </w:lvl>
    <w:lvl w:ilvl="3" w:tplc="5A0ACECE" w:tentative="1">
      <w:start w:val="1"/>
      <w:numFmt w:val="decimal"/>
      <w:lvlText w:val="%4."/>
      <w:lvlJc w:val="left"/>
      <w:pPr>
        <w:ind w:left="2880" w:hanging="360"/>
      </w:pPr>
    </w:lvl>
    <w:lvl w:ilvl="4" w:tplc="41942F7A" w:tentative="1">
      <w:start w:val="1"/>
      <w:numFmt w:val="lowerLetter"/>
      <w:lvlText w:val="%5."/>
      <w:lvlJc w:val="left"/>
      <w:pPr>
        <w:ind w:left="3600" w:hanging="360"/>
      </w:pPr>
    </w:lvl>
    <w:lvl w:ilvl="5" w:tplc="D68EB042" w:tentative="1">
      <w:start w:val="1"/>
      <w:numFmt w:val="lowerRoman"/>
      <w:lvlText w:val="%6."/>
      <w:lvlJc w:val="right"/>
      <w:pPr>
        <w:ind w:left="4320" w:hanging="180"/>
      </w:pPr>
    </w:lvl>
    <w:lvl w:ilvl="6" w:tplc="59520EC4" w:tentative="1">
      <w:start w:val="1"/>
      <w:numFmt w:val="decimal"/>
      <w:lvlText w:val="%7."/>
      <w:lvlJc w:val="left"/>
      <w:pPr>
        <w:ind w:left="5040" w:hanging="360"/>
      </w:pPr>
    </w:lvl>
    <w:lvl w:ilvl="7" w:tplc="D4C2A36A" w:tentative="1">
      <w:start w:val="1"/>
      <w:numFmt w:val="lowerLetter"/>
      <w:lvlText w:val="%8."/>
      <w:lvlJc w:val="left"/>
      <w:pPr>
        <w:ind w:left="5760" w:hanging="360"/>
      </w:pPr>
    </w:lvl>
    <w:lvl w:ilvl="8" w:tplc="B1AA63F8" w:tentative="1">
      <w:start w:val="1"/>
      <w:numFmt w:val="lowerRoman"/>
      <w:lvlText w:val="%9."/>
      <w:lvlJc w:val="right"/>
      <w:pPr>
        <w:ind w:left="6480" w:hanging="180"/>
      </w:pPr>
    </w:lvl>
  </w:abstractNum>
  <w:abstractNum w:abstractNumId="1" w15:restartNumberingAfterBreak="0">
    <w:nsid w:val="461376F9"/>
    <w:multiLevelType w:val="hybridMultilevel"/>
    <w:tmpl w:val="D5F0CFBE"/>
    <w:lvl w:ilvl="0" w:tplc="6C2AF24E">
      <w:start w:val="1"/>
      <w:numFmt w:val="decimal"/>
      <w:lvlText w:val="%1."/>
      <w:lvlJc w:val="left"/>
      <w:pPr>
        <w:ind w:left="360" w:hanging="360"/>
      </w:pPr>
      <w:rPr>
        <w:rFonts w:hint="default"/>
      </w:rPr>
    </w:lvl>
    <w:lvl w:ilvl="1" w:tplc="4B06B442">
      <w:start w:val="1"/>
      <w:numFmt w:val="lowerLetter"/>
      <w:lvlText w:val="%2."/>
      <w:lvlJc w:val="left"/>
      <w:pPr>
        <w:ind w:left="1080" w:hanging="360"/>
      </w:pPr>
    </w:lvl>
    <w:lvl w:ilvl="2" w:tplc="F29AB128" w:tentative="1">
      <w:start w:val="1"/>
      <w:numFmt w:val="lowerRoman"/>
      <w:lvlText w:val="%3."/>
      <w:lvlJc w:val="right"/>
      <w:pPr>
        <w:ind w:left="1800" w:hanging="180"/>
      </w:pPr>
    </w:lvl>
    <w:lvl w:ilvl="3" w:tplc="DDF0D22A" w:tentative="1">
      <w:start w:val="1"/>
      <w:numFmt w:val="decimal"/>
      <w:lvlText w:val="%4."/>
      <w:lvlJc w:val="left"/>
      <w:pPr>
        <w:ind w:left="2520" w:hanging="360"/>
      </w:pPr>
    </w:lvl>
    <w:lvl w:ilvl="4" w:tplc="2474E7FA" w:tentative="1">
      <w:start w:val="1"/>
      <w:numFmt w:val="lowerLetter"/>
      <w:lvlText w:val="%5."/>
      <w:lvlJc w:val="left"/>
      <w:pPr>
        <w:ind w:left="3240" w:hanging="360"/>
      </w:pPr>
    </w:lvl>
    <w:lvl w:ilvl="5" w:tplc="E60C0514" w:tentative="1">
      <w:start w:val="1"/>
      <w:numFmt w:val="lowerRoman"/>
      <w:lvlText w:val="%6."/>
      <w:lvlJc w:val="right"/>
      <w:pPr>
        <w:ind w:left="3960" w:hanging="180"/>
      </w:pPr>
    </w:lvl>
    <w:lvl w:ilvl="6" w:tplc="42B6A238" w:tentative="1">
      <w:start w:val="1"/>
      <w:numFmt w:val="decimal"/>
      <w:lvlText w:val="%7."/>
      <w:lvlJc w:val="left"/>
      <w:pPr>
        <w:ind w:left="4680" w:hanging="360"/>
      </w:pPr>
    </w:lvl>
    <w:lvl w:ilvl="7" w:tplc="B0AE7FAA" w:tentative="1">
      <w:start w:val="1"/>
      <w:numFmt w:val="lowerLetter"/>
      <w:lvlText w:val="%8."/>
      <w:lvlJc w:val="left"/>
      <w:pPr>
        <w:ind w:left="5400" w:hanging="360"/>
      </w:pPr>
    </w:lvl>
    <w:lvl w:ilvl="8" w:tplc="0AF6032E" w:tentative="1">
      <w:start w:val="1"/>
      <w:numFmt w:val="lowerRoman"/>
      <w:lvlText w:val="%9."/>
      <w:lvlJc w:val="right"/>
      <w:pPr>
        <w:ind w:left="6120" w:hanging="180"/>
      </w:pPr>
    </w:lvl>
  </w:abstractNum>
  <w:num w:numId="1" w16cid:durableId="1024209375">
    <w:abstractNumId w:val="1"/>
  </w:num>
  <w:num w:numId="2" w16cid:durableId="19007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35"/>
    <w:rsid w:val="00046AB2"/>
    <w:rsid w:val="00052BEF"/>
    <w:rsid w:val="00093BD5"/>
    <w:rsid w:val="00097F15"/>
    <w:rsid w:val="000B0569"/>
    <w:rsid w:val="000B368B"/>
    <w:rsid w:val="000B3DD6"/>
    <w:rsid w:val="000D4BB5"/>
    <w:rsid w:val="000E1246"/>
    <w:rsid w:val="001C6825"/>
    <w:rsid w:val="001D3E53"/>
    <w:rsid w:val="001E3657"/>
    <w:rsid w:val="00227D43"/>
    <w:rsid w:val="002426A6"/>
    <w:rsid w:val="0025535F"/>
    <w:rsid w:val="00265644"/>
    <w:rsid w:val="002A22D6"/>
    <w:rsid w:val="002A793F"/>
    <w:rsid w:val="002C423A"/>
    <w:rsid w:val="0032155C"/>
    <w:rsid w:val="003323EF"/>
    <w:rsid w:val="00375C26"/>
    <w:rsid w:val="0038723E"/>
    <w:rsid w:val="004033C0"/>
    <w:rsid w:val="00427EDD"/>
    <w:rsid w:val="00457E03"/>
    <w:rsid w:val="004E13FE"/>
    <w:rsid w:val="004E1F7E"/>
    <w:rsid w:val="004E6DAA"/>
    <w:rsid w:val="00500BB7"/>
    <w:rsid w:val="00501ABC"/>
    <w:rsid w:val="005037AC"/>
    <w:rsid w:val="00503A48"/>
    <w:rsid w:val="0050509E"/>
    <w:rsid w:val="0052572B"/>
    <w:rsid w:val="00586408"/>
    <w:rsid w:val="0058659F"/>
    <w:rsid w:val="005866EB"/>
    <w:rsid w:val="005A2422"/>
    <w:rsid w:val="005C10B8"/>
    <w:rsid w:val="005F4D8A"/>
    <w:rsid w:val="006138FC"/>
    <w:rsid w:val="00616D4D"/>
    <w:rsid w:val="00642EEF"/>
    <w:rsid w:val="00644AA3"/>
    <w:rsid w:val="006514A7"/>
    <w:rsid w:val="00741DD2"/>
    <w:rsid w:val="00745824"/>
    <w:rsid w:val="0076273C"/>
    <w:rsid w:val="007A5923"/>
    <w:rsid w:val="007B52CD"/>
    <w:rsid w:val="007D4DA4"/>
    <w:rsid w:val="0080056A"/>
    <w:rsid w:val="00813998"/>
    <w:rsid w:val="008C7A35"/>
    <w:rsid w:val="00904A03"/>
    <w:rsid w:val="0091262F"/>
    <w:rsid w:val="00915745"/>
    <w:rsid w:val="00935413"/>
    <w:rsid w:val="00942B47"/>
    <w:rsid w:val="00947518"/>
    <w:rsid w:val="00954CE5"/>
    <w:rsid w:val="00972A2C"/>
    <w:rsid w:val="009A4647"/>
    <w:rsid w:val="009B6B4E"/>
    <w:rsid w:val="009E254F"/>
    <w:rsid w:val="009F3468"/>
    <w:rsid w:val="00A27154"/>
    <w:rsid w:val="00A665D5"/>
    <w:rsid w:val="00AC1056"/>
    <w:rsid w:val="00AC55A6"/>
    <w:rsid w:val="00AE67AD"/>
    <w:rsid w:val="00AF0EB6"/>
    <w:rsid w:val="00AF4AB5"/>
    <w:rsid w:val="00B10E53"/>
    <w:rsid w:val="00B26E88"/>
    <w:rsid w:val="00B36A15"/>
    <w:rsid w:val="00B46CA2"/>
    <w:rsid w:val="00B911FF"/>
    <w:rsid w:val="00B96738"/>
    <w:rsid w:val="00BA4665"/>
    <w:rsid w:val="00BB05E4"/>
    <w:rsid w:val="00BD3ABA"/>
    <w:rsid w:val="00BE322B"/>
    <w:rsid w:val="00C0295A"/>
    <w:rsid w:val="00C11ED9"/>
    <w:rsid w:val="00C25B23"/>
    <w:rsid w:val="00C2721E"/>
    <w:rsid w:val="00C73071"/>
    <w:rsid w:val="00C876D0"/>
    <w:rsid w:val="00CC1AD6"/>
    <w:rsid w:val="00CE671C"/>
    <w:rsid w:val="00CF5BD2"/>
    <w:rsid w:val="00D15C5B"/>
    <w:rsid w:val="00D30199"/>
    <w:rsid w:val="00D73E0A"/>
    <w:rsid w:val="00D93986"/>
    <w:rsid w:val="00D96B80"/>
    <w:rsid w:val="00DB1222"/>
    <w:rsid w:val="00E00100"/>
    <w:rsid w:val="00E13287"/>
    <w:rsid w:val="00E16218"/>
    <w:rsid w:val="00EA380E"/>
    <w:rsid w:val="00ED6B2A"/>
    <w:rsid w:val="00EE65A4"/>
    <w:rsid w:val="00EF7847"/>
    <w:rsid w:val="00F00CC4"/>
    <w:rsid w:val="00F074EE"/>
    <w:rsid w:val="00F07D1A"/>
    <w:rsid w:val="00F477CA"/>
    <w:rsid w:val="00F52DB8"/>
    <w:rsid w:val="00F83706"/>
    <w:rsid w:val="00F95A3F"/>
    <w:rsid w:val="00FC6AFB"/>
    <w:rsid w:val="00FD09DF"/>
    <w:rsid w:val="00FD1AC8"/>
    <w:rsid w:val="00FE19AB"/>
    <w:rsid w:val="00FF113A"/>
    <w:rsid w:val="00FF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26A5"/>
  <w15:chartTrackingRefBased/>
  <w15:docId w15:val="{8AFC784A-8DD8-884D-96A3-B4D0C94C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A35"/>
    <w:rPr>
      <w:color w:val="0563C1" w:themeColor="hyperlink"/>
      <w:u w:val="single"/>
    </w:rPr>
  </w:style>
  <w:style w:type="character" w:customStyle="1" w:styleId="UnresolvedMention1">
    <w:name w:val="Unresolved Mention1"/>
    <w:basedOn w:val="DefaultParagraphFont"/>
    <w:uiPriority w:val="99"/>
    <w:semiHidden/>
    <w:unhideWhenUsed/>
    <w:rsid w:val="008C7A35"/>
    <w:rPr>
      <w:color w:val="605E5C"/>
      <w:shd w:val="clear" w:color="auto" w:fill="E1DFDD"/>
    </w:rPr>
  </w:style>
  <w:style w:type="paragraph" w:styleId="ListParagraph">
    <w:name w:val="List Paragraph"/>
    <w:basedOn w:val="Normal"/>
    <w:uiPriority w:val="34"/>
    <w:qFormat/>
    <w:rsid w:val="005037AC"/>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972A2C"/>
    <w:rPr>
      <w:color w:val="954F72" w:themeColor="followedHyperlink"/>
      <w:u w:val="single"/>
    </w:rPr>
  </w:style>
  <w:style w:type="paragraph" w:styleId="NormalWeb">
    <w:name w:val="Normal (Web)"/>
    <w:basedOn w:val="Normal"/>
    <w:uiPriority w:val="99"/>
    <w:semiHidden/>
    <w:unhideWhenUsed/>
    <w:rsid w:val="00813998"/>
    <w:pPr>
      <w:spacing w:before="100" w:beforeAutospacing="1" w:after="100" w:afterAutospacing="1"/>
    </w:pPr>
  </w:style>
  <w:style w:type="character" w:customStyle="1" w:styleId="intro">
    <w:name w:val="intro"/>
    <w:basedOn w:val="DefaultParagraphFont"/>
    <w:rsid w:val="00813998"/>
  </w:style>
  <w:style w:type="paragraph" w:styleId="Revision">
    <w:name w:val="Revision"/>
    <w:hidden/>
    <w:uiPriority w:val="99"/>
    <w:semiHidden/>
    <w:rsid w:val="00616D4D"/>
    <w:rPr>
      <w:rFonts w:ascii="Times New Roman" w:eastAsia="Times New Roman" w:hAnsi="Times New Roman" w:cs="Times New Roman"/>
    </w:rPr>
  </w:style>
  <w:style w:type="character" w:styleId="UnresolvedMention">
    <w:name w:val="Unresolved Mention"/>
    <w:basedOn w:val="DefaultParagraphFont"/>
    <w:uiPriority w:val="99"/>
    <w:rsid w:val="00321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potts@icb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3052132-7631-4bf8-9303-fc804c90d88f">
      <Terms xmlns="http://schemas.microsoft.com/office/infopath/2007/PartnerControls"/>
    </lcf76f155ced4ddcb4097134ff3c332f>
    <_ip_UnifiedCompliancePolicyProperties xmlns="http://schemas.microsoft.com/sharepoint/v3" xsi:nil="true"/>
    <TaxCatchAll xmlns="0c2bd550-716e-42bf-a496-06b194d1b8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18" ma:contentTypeDescription="Create a new document." ma:contentTypeScope="" ma:versionID="d186944e50c383c9f4053b9e7a5f8cee">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3bd2f8c33ad12d2b9aca3bcc012ccc3f"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0ea6a4-c0f9-4ccf-bf6c-dcf772f52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76d73c-8ac3-499e-b223-2876e61b994d}" ma:internalName="TaxCatchAll" ma:showField="CatchAllData" ma:web="0c2bd550-716e-42bf-a496-06b194d1b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047DF-60E2-4FE9-996D-D3EC3731857B}">
  <ds:schemaRefs>
    <ds:schemaRef ds:uri="http://schemas.microsoft.com/office/2006/metadata/properties"/>
    <ds:schemaRef ds:uri="http://schemas.microsoft.com/office/infopath/2007/PartnerControls"/>
    <ds:schemaRef ds:uri="http://schemas.microsoft.com/sharepoint/v3"/>
    <ds:schemaRef ds:uri="f3052132-7631-4bf8-9303-fc804c90d88f"/>
    <ds:schemaRef ds:uri="0c2bd550-716e-42bf-a496-06b194d1b80a"/>
  </ds:schemaRefs>
</ds:datastoreItem>
</file>

<file path=customXml/itemProps2.xml><?xml version="1.0" encoding="utf-8"?>
<ds:datastoreItem xmlns:ds="http://schemas.openxmlformats.org/officeDocument/2006/customXml" ds:itemID="{EADC5B5C-0E9B-4470-BA30-3CE1E961B852}">
  <ds:schemaRefs>
    <ds:schemaRef ds:uri="http://schemas.microsoft.com/sharepoint/v3/contenttype/forms"/>
  </ds:schemaRefs>
</ds:datastoreItem>
</file>

<file path=customXml/itemProps3.xml><?xml version="1.0" encoding="utf-8"?>
<ds:datastoreItem xmlns:ds="http://schemas.openxmlformats.org/officeDocument/2006/customXml" ds:itemID="{FF684C79-9138-47DC-9BA6-FA7909C1C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52132-7631-4bf8-9303-fc804c90d88f"/>
    <ds:schemaRef ds:uri="0c2bd550-716e-42bf-a496-06b194d1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Yerkes</dc:creator>
  <cp:lastModifiedBy>Molly Bennett</cp:lastModifiedBy>
  <cp:revision>3</cp:revision>
  <dcterms:created xsi:type="dcterms:W3CDTF">2022-07-26T20:45:00Z</dcterms:created>
  <dcterms:modified xsi:type="dcterms:W3CDTF">2022-07-26T20:46:00Z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0x010100496F3F40B893A8438FDAFECBEBEF3679</vt:lpwstr>
  </property>
</Properties>
</file>