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D13" w14:textId="7CC7D70B" w:rsidR="00E77454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Independent Banker</w:t>
      </w:r>
    </w:p>
    <w:p w14:paraId="1991C53F" w14:textId="0B4287A0" w:rsidR="00FA5371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Portfolio</w:t>
      </w:r>
    </w:p>
    <w:p w14:paraId="1259C5F1" w14:textId="0A546888" w:rsidR="00FA5371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2022</w:t>
      </w:r>
    </w:p>
    <w:p w14:paraId="633ADED4" w14:textId="64835869" w:rsidR="00FA5371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DE3957B" w14:textId="23006061" w:rsidR="00FA5371" w:rsidRPr="00FA5371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[tag] Innovation Station</w:t>
      </w:r>
    </w:p>
    <w:p w14:paraId="4D1C80E9" w14:textId="77777777" w:rsidR="00E77454" w:rsidRPr="00FA5371" w:rsidRDefault="00E77454" w:rsidP="00FA537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4654D4" w14:textId="59BC9125" w:rsidR="008402F2" w:rsidRDefault="00FA5371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A5371">
        <w:rPr>
          <w:rFonts w:ascii="Times New Roman" w:eastAsia="Times New Roman" w:hAnsi="Times New Roman" w:cs="Times New Roman"/>
          <w:color w:val="000000"/>
        </w:rPr>
        <w:t>[hed</w:t>
      </w:r>
      <w:r>
        <w:rPr>
          <w:rFonts w:ascii="Times New Roman" w:eastAsia="Times New Roman" w:hAnsi="Times New Roman" w:cs="Times New Roman"/>
          <w:color w:val="000000"/>
        </w:rPr>
        <w:t>]</w:t>
      </w:r>
      <w:r w:rsidRPr="00FA5371">
        <w:rPr>
          <w:rFonts w:ascii="Times New Roman" w:eastAsia="Times New Roman" w:hAnsi="Times New Roman" w:cs="Times New Roman"/>
          <w:color w:val="000000"/>
        </w:rPr>
        <w:t xml:space="preserve"> </w:t>
      </w:r>
      <w:r w:rsidR="00B12358">
        <w:rPr>
          <w:rFonts w:ascii="Times New Roman" w:eastAsia="Times New Roman" w:hAnsi="Times New Roman" w:cs="Times New Roman"/>
          <w:color w:val="000000"/>
        </w:rPr>
        <w:t>Opportunities in the</w:t>
      </w:r>
      <w:r w:rsidR="002C2DF3" w:rsidRPr="00FA5371">
        <w:rPr>
          <w:rFonts w:ascii="Times New Roman" w:eastAsia="Times New Roman" w:hAnsi="Times New Roman" w:cs="Times New Roman"/>
          <w:color w:val="000000"/>
        </w:rPr>
        <w:t xml:space="preserve"> </w:t>
      </w:r>
      <w:r w:rsidR="00B12358">
        <w:rPr>
          <w:rFonts w:ascii="Times New Roman" w:eastAsia="Times New Roman" w:hAnsi="Times New Roman" w:cs="Times New Roman"/>
          <w:color w:val="000000"/>
        </w:rPr>
        <w:t>f</w:t>
      </w:r>
      <w:r w:rsidR="002C2DF3" w:rsidRPr="00FA5371">
        <w:rPr>
          <w:rFonts w:ascii="Times New Roman" w:eastAsia="Times New Roman" w:hAnsi="Times New Roman" w:cs="Times New Roman"/>
          <w:color w:val="000000"/>
        </w:rPr>
        <w:t xml:space="preserve">intech </w:t>
      </w:r>
      <w:r w:rsidR="00B12358">
        <w:rPr>
          <w:rFonts w:ascii="Times New Roman" w:eastAsia="Times New Roman" w:hAnsi="Times New Roman" w:cs="Times New Roman"/>
          <w:color w:val="000000"/>
        </w:rPr>
        <w:t>l</w:t>
      </w:r>
      <w:r w:rsidR="002C2DF3" w:rsidRPr="00FA5371">
        <w:rPr>
          <w:rFonts w:ascii="Times New Roman" w:eastAsia="Times New Roman" w:hAnsi="Times New Roman" w:cs="Times New Roman"/>
          <w:color w:val="000000"/>
        </w:rPr>
        <w:t>andscape</w:t>
      </w:r>
    </w:p>
    <w:p w14:paraId="091159C6" w14:textId="79ADA68A" w:rsidR="00F27932" w:rsidRDefault="00F27932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5DB0362" w14:textId="73F1D273" w:rsidR="00F27932" w:rsidRPr="00FA5371" w:rsidRDefault="00F27932" w:rsidP="00FA537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[byline] By Charles Potts, ICBA</w:t>
      </w:r>
    </w:p>
    <w:p w14:paraId="053134B1" w14:textId="0AFB3846" w:rsidR="000A339D" w:rsidRDefault="000A339D" w:rsidP="00FA5371">
      <w:pPr>
        <w:spacing w:line="360" w:lineRule="auto"/>
        <w:rPr>
          <w:rFonts w:ascii="Times New Roman" w:hAnsi="Times New Roman" w:cs="Times New Roman"/>
        </w:rPr>
      </w:pPr>
    </w:p>
    <w:p w14:paraId="62AA7B1E" w14:textId="6754CA7B" w:rsidR="00FA5371" w:rsidRPr="00FA5371" w:rsidRDefault="00FA5371" w:rsidP="00FA53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[body]</w:t>
      </w:r>
    </w:p>
    <w:p w14:paraId="4BBF1E73" w14:textId="65080617" w:rsidR="00B22CA7" w:rsidRPr="00FA5371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>The fintech landscape is shiftin</w:t>
      </w:r>
      <w:r w:rsidR="004377F6" w:rsidRPr="00FA5371">
        <w:rPr>
          <w:rFonts w:ascii="Times New Roman" w:hAnsi="Times New Roman" w:cs="Times New Roman"/>
        </w:rPr>
        <w:t>g</w:t>
      </w:r>
      <w:r w:rsidR="009908B1" w:rsidRPr="00FA5371">
        <w:rPr>
          <w:rFonts w:ascii="Times New Roman" w:hAnsi="Times New Roman" w:cs="Times New Roman"/>
        </w:rPr>
        <w:t xml:space="preserve">. </w:t>
      </w:r>
      <w:r w:rsidR="004B351B" w:rsidRPr="00FA5371">
        <w:rPr>
          <w:rFonts w:ascii="Times New Roman" w:hAnsi="Times New Roman" w:cs="Times New Roman"/>
        </w:rPr>
        <w:t xml:space="preserve">Investments in new companies have slowed, valuations that some early-stage </w:t>
      </w:r>
      <w:r w:rsidRPr="00FA5371">
        <w:rPr>
          <w:rFonts w:ascii="Times New Roman" w:hAnsi="Times New Roman" w:cs="Times New Roman"/>
        </w:rPr>
        <w:t>companies commanded last year are ratcheting back, and financial technology providers are tightening their proverbial belts.</w:t>
      </w:r>
      <w:r w:rsidR="002C0A0B" w:rsidRPr="00FA5371">
        <w:rPr>
          <w:rFonts w:ascii="Times New Roman" w:hAnsi="Times New Roman" w:cs="Times New Roman"/>
        </w:rPr>
        <w:t xml:space="preserve"> While challenging for some, this convergence of economic and marketplace factors </w:t>
      </w:r>
      <w:r w:rsidR="009B66D2">
        <w:rPr>
          <w:rFonts w:ascii="Times New Roman" w:hAnsi="Times New Roman" w:cs="Times New Roman"/>
        </w:rPr>
        <w:t>presents</w:t>
      </w:r>
      <w:r w:rsidR="00F27932" w:rsidRPr="00FA5371">
        <w:rPr>
          <w:rFonts w:ascii="Times New Roman" w:hAnsi="Times New Roman" w:cs="Times New Roman"/>
        </w:rPr>
        <w:t xml:space="preserve"> </w:t>
      </w:r>
      <w:r w:rsidR="002C0A0B" w:rsidRPr="00FA5371">
        <w:rPr>
          <w:rFonts w:ascii="Times New Roman" w:hAnsi="Times New Roman" w:cs="Times New Roman"/>
        </w:rPr>
        <w:t xml:space="preserve">community banks </w:t>
      </w:r>
      <w:r w:rsidR="009B66D2">
        <w:rPr>
          <w:rFonts w:ascii="Times New Roman" w:hAnsi="Times New Roman" w:cs="Times New Roman"/>
        </w:rPr>
        <w:t xml:space="preserve">with </w:t>
      </w:r>
      <w:r w:rsidR="002C0A0B" w:rsidRPr="00FA5371">
        <w:rPr>
          <w:rFonts w:ascii="Times New Roman" w:hAnsi="Times New Roman" w:cs="Times New Roman"/>
        </w:rPr>
        <w:t xml:space="preserve">new opportunities for innovation and growth as they look to the new year. </w:t>
      </w:r>
    </w:p>
    <w:p w14:paraId="595E977C" w14:textId="433D6EE8" w:rsidR="00B7254E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 xml:space="preserve">With community banks finalizing 2023 budgets, </w:t>
      </w:r>
      <w:r w:rsidR="00184326" w:rsidRPr="00FA5371">
        <w:rPr>
          <w:rFonts w:ascii="Times New Roman" w:hAnsi="Times New Roman" w:cs="Times New Roman"/>
        </w:rPr>
        <w:t xml:space="preserve">now is an excellent time to reevaluate current business partnerships and consider whether partnering with additional or different </w:t>
      </w:r>
      <w:r w:rsidR="00F27932">
        <w:rPr>
          <w:rFonts w:ascii="Times New Roman" w:hAnsi="Times New Roman" w:cs="Times New Roman"/>
        </w:rPr>
        <w:t>fintech</w:t>
      </w:r>
      <w:r w:rsidR="00184326" w:rsidRPr="00FA5371">
        <w:rPr>
          <w:rFonts w:ascii="Times New Roman" w:hAnsi="Times New Roman" w:cs="Times New Roman"/>
        </w:rPr>
        <w:t xml:space="preserve"> providers would better meet </w:t>
      </w:r>
      <w:r w:rsidR="00B7254E">
        <w:rPr>
          <w:rFonts w:ascii="Times New Roman" w:hAnsi="Times New Roman" w:cs="Times New Roman"/>
        </w:rPr>
        <w:t>the bank’s</w:t>
      </w:r>
      <w:r w:rsidR="00184326" w:rsidRPr="00FA5371">
        <w:rPr>
          <w:rFonts w:ascii="Times New Roman" w:hAnsi="Times New Roman" w:cs="Times New Roman"/>
        </w:rPr>
        <w:t xml:space="preserve"> and customers’ needs.</w:t>
      </w:r>
      <w:r w:rsidRPr="00FA5371">
        <w:rPr>
          <w:rFonts w:ascii="Times New Roman" w:hAnsi="Times New Roman" w:cs="Times New Roman"/>
        </w:rPr>
        <w:t xml:space="preserve"> </w:t>
      </w:r>
    </w:p>
    <w:p w14:paraId="62D19222" w14:textId="498DA0CC" w:rsidR="003778F2" w:rsidRPr="00FA5371" w:rsidRDefault="009237BB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>F</w:t>
      </w:r>
      <w:r w:rsidR="002C2DF3" w:rsidRPr="00FA5371">
        <w:rPr>
          <w:rFonts w:ascii="Times New Roman" w:hAnsi="Times New Roman" w:cs="Times New Roman"/>
        </w:rPr>
        <w:t>or</w:t>
      </w:r>
      <w:r w:rsidR="00184326" w:rsidRPr="00FA5371">
        <w:rPr>
          <w:rFonts w:ascii="Times New Roman" w:hAnsi="Times New Roman" w:cs="Times New Roman"/>
        </w:rPr>
        <w:t xml:space="preserve"> community banks that have yet </w:t>
      </w:r>
      <w:r w:rsidRPr="00FA5371">
        <w:rPr>
          <w:rFonts w:ascii="Times New Roman" w:hAnsi="Times New Roman" w:cs="Times New Roman"/>
        </w:rPr>
        <w:t xml:space="preserve">to </w:t>
      </w:r>
      <w:r w:rsidR="00184326" w:rsidRPr="00FA5371">
        <w:rPr>
          <w:rFonts w:ascii="Times New Roman" w:hAnsi="Times New Roman" w:cs="Times New Roman"/>
        </w:rPr>
        <w:t>start evaluati</w:t>
      </w:r>
      <w:r w:rsidR="002C2DF3" w:rsidRPr="00FA5371">
        <w:rPr>
          <w:rFonts w:ascii="Times New Roman" w:hAnsi="Times New Roman" w:cs="Times New Roman"/>
        </w:rPr>
        <w:t>ng</w:t>
      </w:r>
      <w:r w:rsidR="00184326" w:rsidRPr="00FA5371">
        <w:rPr>
          <w:rFonts w:ascii="Times New Roman" w:hAnsi="Times New Roman" w:cs="Times New Roman"/>
        </w:rPr>
        <w:t xml:space="preserve"> digital solutions and providers, now is the time to act. Current market shifts</w:t>
      </w:r>
      <w:r w:rsidR="003961B5" w:rsidRPr="00FA5371">
        <w:rPr>
          <w:rFonts w:ascii="Times New Roman" w:hAnsi="Times New Roman" w:cs="Times New Roman"/>
        </w:rPr>
        <w:t xml:space="preserve"> have</w:t>
      </w:r>
      <w:r w:rsidR="002C2DF3" w:rsidRPr="00FA5371">
        <w:rPr>
          <w:rFonts w:ascii="Times New Roman" w:hAnsi="Times New Roman" w:cs="Times New Roman"/>
        </w:rPr>
        <w:t xml:space="preserve"> created</w:t>
      </w:r>
      <w:r w:rsidR="003961B5" w:rsidRPr="00FA5371">
        <w:rPr>
          <w:rFonts w:ascii="Times New Roman" w:hAnsi="Times New Roman" w:cs="Times New Roman"/>
        </w:rPr>
        <w:t xml:space="preserve"> a buyer’s market, </w:t>
      </w:r>
      <w:r w:rsidR="002C2DF3" w:rsidRPr="00FA5371">
        <w:rPr>
          <w:rFonts w:ascii="Times New Roman" w:hAnsi="Times New Roman" w:cs="Times New Roman"/>
        </w:rPr>
        <w:t>p</w:t>
      </w:r>
      <w:r w:rsidRPr="00FA5371">
        <w:rPr>
          <w:rFonts w:ascii="Times New Roman" w:hAnsi="Times New Roman" w:cs="Times New Roman"/>
        </w:rPr>
        <w:t xml:space="preserve">utting </w:t>
      </w:r>
      <w:r w:rsidR="002C2DF3" w:rsidRPr="00FA5371">
        <w:rPr>
          <w:rFonts w:ascii="Times New Roman" w:hAnsi="Times New Roman" w:cs="Times New Roman"/>
        </w:rPr>
        <w:t xml:space="preserve">community banks </w:t>
      </w:r>
      <w:r w:rsidRPr="00FA5371">
        <w:rPr>
          <w:rFonts w:ascii="Times New Roman" w:hAnsi="Times New Roman" w:cs="Times New Roman"/>
        </w:rPr>
        <w:t xml:space="preserve">in a favorable position </w:t>
      </w:r>
      <w:r w:rsidR="002C2DF3" w:rsidRPr="00FA5371">
        <w:rPr>
          <w:rFonts w:ascii="Times New Roman" w:hAnsi="Times New Roman" w:cs="Times New Roman"/>
        </w:rPr>
        <w:t>to renegotiate contractual terms and become more selective in their provider choices.</w:t>
      </w:r>
    </w:p>
    <w:p w14:paraId="5C640139" w14:textId="43D8DFB8" w:rsidR="008E402B" w:rsidRPr="00FA5371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 xml:space="preserve">As community banks leverage these marketplace advantages, they </w:t>
      </w:r>
      <w:r w:rsidR="00B7254E">
        <w:rPr>
          <w:rFonts w:ascii="Times New Roman" w:hAnsi="Times New Roman" w:cs="Times New Roman"/>
        </w:rPr>
        <w:t>should</w:t>
      </w:r>
      <w:r w:rsidRPr="00FA5371">
        <w:rPr>
          <w:rFonts w:ascii="Times New Roman" w:hAnsi="Times New Roman" w:cs="Times New Roman"/>
        </w:rPr>
        <w:t xml:space="preserve"> consider partnering with providers that bundle their services and solutions to meet customers’ demands. For the past few years, fintechs have worked to address specific challenges or niches, creating a siloed approach that resulted in multiple solution providers and platforms, creating unnecessary friction for community banks and their customers.  </w:t>
      </w:r>
    </w:p>
    <w:p w14:paraId="4065027A" w14:textId="619A946D" w:rsidR="009A3D88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>In response, community banks</w:t>
      </w:r>
      <w:r w:rsidR="00B7254E">
        <w:rPr>
          <w:rFonts w:ascii="Times New Roman" w:hAnsi="Times New Roman" w:cs="Times New Roman"/>
        </w:rPr>
        <w:t>,</w:t>
      </w:r>
      <w:r w:rsidRPr="00FA5371">
        <w:rPr>
          <w:rFonts w:ascii="Times New Roman" w:hAnsi="Times New Roman" w:cs="Times New Roman"/>
        </w:rPr>
        <w:t xml:space="preserve"> </w:t>
      </w:r>
      <w:r w:rsidR="002F1FF9" w:rsidRPr="00FA5371">
        <w:rPr>
          <w:rFonts w:ascii="Times New Roman" w:hAnsi="Times New Roman" w:cs="Times New Roman"/>
        </w:rPr>
        <w:t>like $779 million</w:t>
      </w:r>
      <w:r w:rsidR="00F27932">
        <w:rPr>
          <w:rFonts w:ascii="Times New Roman" w:hAnsi="Times New Roman" w:cs="Times New Roman"/>
        </w:rPr>
        <w:t>-</w:t>
      </w:r>
      <w:r w:rsidR="002F1FF9" w:rsidRPr="00FA5371">
        <w:rPr>
          <w:rFonts w:ascii="Times New Roman" w:hAnsi="Times New Roman" w:cs="Times New Roman"/>
        </w:rPr>
        <w:t>asset Lead Bank in Kansas City</w:t>
      </w:r>
      <w:r w:rsidR="009B66D2">
        <w:rPr>
          <w:rFonts w:ascii="Times New Roman" w:hAnsi="Times New Roman" w:cs="Times New Roman"/>
        </w:rPr>
        <w:t>,</w:t>
      </w:r>
      <w:r w:rsidR="002F1FF9" w:rsidRPr="00FA5371">
        <w:rPr>
          <w:rFonts w:ascii="Times New Roman" w:hAnsi="Times New Roman" w:cs="Times New Roman"/>
        </w:rPr>
        <w:t xml:space="preserve"> </w:t>
      </w:r>
      <w:r w:rsidR="00B7254E">
        <w:rPr>
          <w:rFonts w:ascii="Times New Roman" w:hAnsi="Times New Roman" w:cs="Times New Roman"/>
        </w:rPr>
        <w:t>Mo</w:t>
      </w:r>
      <w:r w:rsidR="002F1FF9" w:rsidRPr="00FA5371">
        <w:rPr>
          <w:rFonts w:ascii="Times New Roman" w:hAnsi="Times New Roman" w:cs="Times New Roman"/>
        </w:rPr>
        <w:t xml:space="preserve">., </w:t>
      </w:r>
      <w:r w:rsidRPr="00FA5371">
        <w:rPr>
          <w:rFonts w:ascii="Times New Roman" w:hAnsi="Times New Roman" w:cs="Times New Roman"/>
        </w:rPr>
        <w:t>have begun investing in fintech providers that can arm them with the capabilities to bundle their services and streamline process</w:t>
      </w:r>
      <w:r w:rsidR="002F1FF9" w:rsidRPr="00FA5371">
        <w:rPr>
          <w:rFonts w:ascii="Times New Roman" w:hAnsi="Times New Roman" w:cs="Times New Roman"/>
        </w:rPr>
        <w:t>es</w:t>
      </w:r>
      <w:r w:rsidRPr="00FA5371">
        <w:rPr>
          <w:rFonts w:ascii="Times New Roman" w:hAnsi="Times New Roman" w:cs="Times New Roman"/>
        </w:rPr>
        <w:t xml:space="preserve">. We see this same trend playing out in larger financial </w:t>
      </w:r>
      <w:r w:rsidRPr="00FA5371">
        <w:rPr>
          <w:rFonts w:ascii="Times New Roman" w:hAnsi="Times New Roman" w:cs="Times New Roman"/>
        </w:rPr>
        <w:lastRenderedPageBreak/>
        <w:t>institutions</w:t>
      </w:r>
      <w:r w:rsidR="002F1FF9" w:rsidRPr="00FA5371">
        <w:rPr>
          <w:rFonts w:ascii="Times New Roman" w:hAnsi="Times New Roman" w:cs="Times New Roman"/>
        </w:rPr>
        <w:t xml:space="preserve"> as well</w:t>
      </w:r>
      <w:r w:rsidRPr="00FA5371">
        <w:rPr>
          <w:rFonts w:ascii="Times New Roman" w:hAnsi="Times New Roman" w:cs="Times New Roman"/>
        </w:rPr>
        <w:t>. Earlier this year, Bank of America announced its new super app, which facilitates bundling multiple solutions under one umbrella.</w:t>
      </w:r>
    </w:p>
    <w:p w14:paraId="319C0092" w14:textId="342AE011" w:rsidR="00B35F15" w:rsidRPr="00FA5371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 xml:space="preserve">In this time of economic uncertainty, community banks </w:t>
      </w:r>
      <w:r w:rsidR="006B270D" w:rsidRPr="00FA5371">
        <w:rPr>
          <w:rFonts w:ascii="Times New Roman" w:hAnsi="Times New Roman" w:cs="Times New Roman"/>
        </w:rPr>
        <w:t xml:space="preserve">also </w:t>
      </w:r>
      <w:r w:rsidRPr="00FA5371">
        <w:rPr>
          <w:rFonts w:ascii="Times New Roman" w:hAnsi="Times New Roman" w:cs="Times New Roman"/>
        </w:rPr>
        <w:t xml:space="preserve">have an opportunity to remind their customers of their presence, value and stability. Through partnerships with robust solution providers </w:t>
      </w:r>
      <w:r w:rsidR="006B270D" w:rsidRPr="00FA5371">
        <w:rPr>
          <w:rFonts w:ascii="Times New Roman" w:hAnsi="Times New Roman" w:cs="Times New Roman"/>
        </w:rPr>
        <w:t xml:space="preserve">and a keen focus on attending </w:t>
      </w:r>
      <w:r w:rsidRPr="00FA5371">
        <w:rPr>
          <w:rFonts w:ascii="Times New Roman" w:hAnsi="Times New Roman" w:cs="Times New Roman"/>
        </w:rPr>
        <w:t xml:space="preserve">to customers' desires, community banks can not only enhance customer loyalty but </w:t>
      </w:r>
      <w:r w:rsidR="006B270D" w:rsidRPr="00FA5371">
        <w:rPr>
          <w:rFonts w:ascii="Times New Roman" w:hAnsi="Times New Roman" w:cs="Times New Roman"/>
        </w:rPr>
        <w:t xml:space="preserve">bring </w:t>
      </w:r>
      <w:r w:rsidRPr="00FA5371">
        <w:rPr>
          <w:rFonts w:ascii="Times New Roman" w:hAnsi="Times New Roman" w:cs="Times New Roman"/>
        </w:rPr>
        <w:t xml:space="preserve">new customers into the fold.  </w:t>
      </w:r>
    </w:p>
    <w:p w14:paraId="3D65A11A" w14:textId="53EB8B55" w:rsidR="00704060" w:rsidRPr="00FA5371" w:rsidRDefault="002C2DF3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 xml:space="preserve">ICBA remains committed to helping its members stay abreast of emerging trends. </w:t>
      </w:r>
      <w:r w:rsidR="00B7254E">
        <w:rPr>
          <w:rFonts w:ascii="Times New Roman" w:hAnsi="Times New Roman" w:cs="Times New Roman"/>
        </w:rPr>
        <w:t>T</w:t>
      </w:r>
      <w:r w:rsidRPr="00FA5371">
        <w:rPr>
          <w:rFonts w:ascii="Times New Roman" w:hAnsi="Times New Roman" w:cs="Times New Roman"/>
        </w:rPr>
        <w:t xml:space="preserve">he evolving fintech landscape and digital banking solutions remain a primary focus for ICBA, which </w:t>
      </w:r>
      <w:r w:rsidR="006B270D" w:rsidRPr="00FA5371">
        <w:rPr>
          <w:rFonts w:ascii="Times New Roman" w:hAnsi="Times New Roman" w:cs="Times New Roman"/>
        </w:rPr>
        <w:t xml:space="preserve">is </w:t>
      </w:r>
      <w:r w:rsidR="00454B98" w:rsidRPr="00FA5371">
        <w:rPr>
          <w:rFonts w:ascii="Times New Roman" w:hAnsi="Times New Roman" w:cs="Times New Roman"/>
        </w:rPr>
        <w:t xml:space="preserve">reflected in </w:t>
      </w:r>
      <w:r w:rsidR="009B66D2">
        <w:rPr>
          <w:rFonts w:ascii="Times New Roman" w:hAnsi="Times New Roman" w:cs="Times New Roman"/>
        </w:rPr>
        <w:t>initiatives such as</w:t>
      </w:r>
      <w:r w:rsidR="006B270D" w:rsidRPr="00FA5371">
        <w:rPr>
          <w:rFonts w:ascii="Times New Roman" w:hAnsi="Times New Roman" w:cs="Times New Roman"/>
        </w:rPr>
        <w:t xml:space="preserve"> our renowned </w:t>
      </w:r>
      <w:r w:rsidR="00454B98" w:rsidRPr="00FA5371">
        <w:rPr>
          <w:rFonts w:ascii="Times New Roman" w:hAnsi="Times New Roman" w:cs="Times New Roman"/>
        </w:rPr>
        <w:t xml:space="preserve">ThinkTECH Accelerator </w:t>
      </w:r>
      <w:r w:rsidR="006B270D" w:rsidRPr="00FA5371">
        <w:rPr>
          <w:rFonts w:ascii="Times New Roman" w:hAnsi="Times New Roman" w:cs="Times New Roman"/>
        </w:rPr>
        <w:t>program</w:t>
      </w:r>
      <w:r w:rsidR="00454B98" w:rsidRPr="00FA5371">
        <w:rPr>
          <w:rFonts w:ascii="Times New Roman" w:hAnsi="Times New Roman" w:cs="Times New Roman"/>
        </w:rPr>
        <w:t xml:space="preserve">, </w:t>
      </w:r>
      <w:r w:rsidR="00AE05ED" w:rsidRPr="00FA5371">
        <w:rPr>
          <w:rFonts w:ascii="Times New Roman" w:hAnsi="Times New Roman" w:cs="Times New Roman"/>
        </w:rPr>
        <w:t xml:space="preserve">vetted </w:t>
      </w:r>
      <w:r w:rsidR="00454B98" w:rsidRPr="00FA5371">
        <w:rPr>
          <w:rFonts w:ascii="Times New Roman" w:hAnsi="Times New Roman" w:cs="Times New Roman"/>
        </w:rPr>
        <w:t>Preferred Service Provider</w:t>
      </w:r>
      <w:r w:rsidR="00AE05ED" w:rsidRPr="00FA5371">
        <w:rPr>
          <w:rFonts w:ascii="Times New Roman" w:hAnsi="Times New Roman" w:cs="Times New Roman"/>
        </w:rPr>
        <w:t xml:space="preserve"> offerings, curated </w:t>
      </w:r>
      <w:r w:rsidR="00454B98" w:rsidRPr="00FA5371">
        <w:rPr>
          <w:rFonts w:ascii="Times New Roman" w:hAnsi="Times New Roman" w:cs="Times New Roman"/>
        </w:rPr>
        <w:t xml:space="preserve">solutions directory and </w:t>
      </w:r>
      <w:r w:rsidR="00AE05ED" w:rsidRPr="00FA5371">
        <w:rPr>
          <w:rFonts w:ascii="Times New Roman" w:hAnsi="Times New Roman" w:cs="Times New Roman"/>
        </w:rPr>
        <w:t xml:space="preserve">a </w:t>
      </w:r>
      <w:r w:rsidR="00454B98" w:rsidRPr="00FA5371">
        <w:rPr>
          <w:rFonts w:ascii="Times New Roman" w:hAnsi="Times New Roman" w:cs="Times New Roman"/>
        </w:rPr>
        <w:t>multitude of educational tools and resources</w:t>
      </w:r>
      <w:r w:rsidR="00A1202C" w:rsidRPr="00FA5371">
        <w:rPr>
          <w:rFonts w:ascii="Times New Roman" w:hAnsi="Times New Roman" w:cs="Times New Roman"/>
        </w:rPr>
        <w:t>.</w:t>
      </w:r>
      <w:r w:rsidR="00454B98" w:rsidRPr="00FA5371">
        <w:rPr>
          <w:rFonts w:ascii="Times New Roman" w:hAnsi="Times New Roman" w:cs="Times New Roman"/>
        </w:rPr>
        <w:t xml:space="preserve"> </w:t>
      </w:r>
    </w:p>
    <w:p w14:paraId="468BE113" w14:textId="06BE017C" w:rsidR="00817482" w:rsidRDefault="00275857" w:rsidP="00FA5371">
      <w:pPr>
        <w:spacing w:line="360" w:lineRule="auto"/>
        <w:rPr>
          <w:rFonts w:ascii="Times New Roman" w:hAnsi="Times New Roman" w:cs="Times New Roman"/>
        </w:rPr>
      </w:pPr>
      <w:r w:rsidRPr="00FA5371">
        <w:rPr>
          <w:rFonts w:ascii="Times New Roman" w:hAnsi="Times New Roman" w:cs="Times New Roman"/>
        </w:rPr>
        <w:t xml:space="preserve">Imagine the possibilities and </w:t>
      </w:r>
      <w:r w:rsidR="002C2DF3" w:rsidRPr="00FA5371">
        <w:rPr>
          <w:rFonts w:ascii="Times New Roman" w:hAnsi="Times New Roman" w:cs="Times New Roman"/>
        </w:rPr>
        <w:t>embrace the opportunities before you</w:t>
      </w:r>
      <w:r w:rsidR="004A23EE" w:rsidRPr="00FA5371">
        <w:rPr>
          <w:rFonts w:ascii="Times New Roman" w:hAnsi="Times New Roman" w:cs="Times New Roman"/>
        </w:rPr>
        <w:t xml:space="preserve">. </w:t>
      </w:r>
      <w:r w:rsidR="002C2DF3" w:rsidRPr="00FA5371">
        <w:rPr>
          <w:rFonts w:ascii="Times New Roman" w:hAnsi="Times New Roman" w:cs="Times New Roman"/>
        </w:rPr>
        <w:t>Seize the moment to explore innovation.</w:t>
      </w:r>
    </w:p>
    <w:p w14:paraId="496DA2B1" w14:textId="0E07471B" w:rsidR="00F27932" w:rsidRDefault="00F27932" w:rsidP="00FA5371">
      <w:pPr>
        <w:spacing w:line="360" w:lineRule="auto"/>
        <w:rPr>
          <w:rFonts w:ascii="Times New Roman" w:hAnsi="Times New Roman" w:cs="Times New Roman"/>
        </w:rPr>
      </w:pPr>
    </w:p>
    <w:p w14:paraId="483F9260" w14:textId="7EDE1533" w:rsidR="00F27932" w:rsidRPr="00FA5371" w:rsidRDefault="00F27932" w:rsidP="00FA5371">
      <w:pPr>
        <w:spacing w:line="360" w:lineRule="auto"/>
        <w:rPr>
          <w:rFonts w:ascii="Times New Roman" w:hAnsi="Times New Roman" w:cs="Times New Roman"/>
        </w:rPr>
      </w:pPr>
      <w:r w:rsidRPr="00EF5FDD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Charles Potts</w:t>
      </w:r>
      <w:r w:rsidRPr="00EF5FDD">
        <w:rPr>
          <w:rFonts w:ascii="Times New Roman" w:hAnsi="Times New Roman" w:cs="Times New Roman"/>
          <w:color w:val="000000"/>
          <w:shd w:val="clear" w:color="auto" w:fill="FFFFFF"/>
        </w:rPr>
        <w:t> (</w:t>
      </w:r>
      <w:hyperlink r:id="rId8" w:history="1">
        <w:r w:rsidRPr="00EF5FDD">
          <w:rPr>
            <w:rStyle w:val="Hyperlink"/>
            <w:rFonts w:ascii="Times New Roman" w:hAnsi="Times New Roman" w:cs="Times New Roman"/>
            <w:color w:val="6B9BC7"/>
            <w:shd w:val="clear" w:color="auto" w:fill="FFFFFF"/>
          </w:rPr>
          <w:t>charles.potts@icba.org</w:t>
        </w:r>
      </w:hyperlink>
      <w:r w:rsidRPr="00EF5FDD">
        <w:rPr>
          <w:rFonts w:ascii="Times New Roman" w:hAnsi="Times New Roman" w:cs="Times New Roman"/>
          <w:color w:val="000000"/>
          <w:shd w:val="clear" w:color="auto" w:fill="FFFFFF"/>
        </w:rPr>
        <w:t>) is ICBA executive vice president and chief innovation officer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466326" w14:textId="39604EFF" w:rsidR="00704060" w:rsidRPr="00FA5371" w:rsidRDefault="00FA5371" w:rsidP="00FA53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[ends]</w:t>
      </w:r>
    </w:p>
    <w:p w14:paraId="3A586000" w14:textId="3262855F" w:rsidR="00F27932" w:rsidRPr="00FA5371" w:rsidRDefault="00F27932" w:rsidP="00FA5371">
      <w:pPr>
        <w:spacing w:line="360" w:lineRule="auto"/>
        <w:rPr>
          <w:rFonts w:ascii="Times New Roman" w:hAnsi="Times New Roman" w:cs="Times New Roman"/>
        </w:rPr>
      </w:pPr>
    </w:p>
    <w:sectPr w:rsidR="00F27932" w:rsidRPr="00FA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65A8"/>
    <w:multiLevelType w:val="hybridMultilevel"/>
    <w:tmpl w:val="750E0062"/>
    <w:lvl w:ilvl="0" w:tplc="5C5A3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E2E1BC">
      <w:start w:val="1"/>
      <w:numFmt w:val="lowerLetter"/>
      <w:lvlText w:val="%2."/>
      <w:lvlJc w:val="left"/>
      <w:pPr>
        <w:ind w:left="1080" w:hanging="360"/>
      </w:pPr>
    </w:lvl>
    <w:lvl w:ilvl="2" w:tplc="A678CBFA" w:tentative="1">
      <w:start w:val="1"/>
      <w:numFmt w:val="lowerRoman"/>
      <w:lvlText w:val="%3."/>
      <w:lvlJc w:val="right"/>
      <w:pPr>
        <w:ind w:left="1800" w:hanging="180"/>
      </w:pPr>
    </w:lvl>
    <w:lvl w:ilvl="3" w:tplc="D8665B36" w:tentative="1">
      <w:start w:val="1"/>
      <w:numFmt w:val="decimal"/>
      <w:lvlText w:val="%4."/>
      <w:lvlJc w:val="left"/>
      <w:pPr>
        <w:ind w:left="2520" w:hanging="360"/>
      </w:pPr>
    </w:lvl>
    <w:lvl w:ilvl="4" w:tplc="BFD6FC44" w:tentative="1">
      <w:start w:val="1"/>
      <w:numFmt w:val="lowerLetter"/>
      <w:lvlText w:val="%5."/>
      <w:lvlJc w:val="left"/>
      <w:pPr>
        <w:ind w:left="3240" w:hanging="360"/>
      </w:pPr>
    </w:lvl>
    <w:lvl w:ilvl="5" w:tplc="458C92C2" w:tentative="1">
      <w:start w:val="1"/>
      <w:numFmt w:val="lowerRoman"/>
      <w:lvlText w:val="%6."/>
      <w:lvlJc w:val="right"/>
      <w:pPr>
        <w:ind w:left="3960" w:hanging="180"/>
      </w:pPr>
    </w:lvl>
    <w:lvl w:ilvl="6" w:tplc="C7E2AA6A" w:tentative="1">
      <w:start w:val="1"/>
      <w:numFmt w:val="decimal"/>
      <w:lvlText w:val="%7."/>
      <w:lvlJc w:val="left"/>
      <w:pPr>
        <w:ind w:left="4680" w:hanging="360"/>
      </w:pPr>
    </w:lvl>
    <w:lvl w:ilvl="7" w:tplc="258010C4" w:tentative="1">
      <w:start w:val="1"/>
      <w:numFmt w:val="lowerLetter"/>
      <w:lvlText w:val="%8."/>
      <w:lvlJc w:val="left"/>
      <w:pPr>
        <w:ind w:left="5400" w:hanging="360"/>
      </w:pPr>
    </w:lvl>
    <w:lvl w:ilvl="8" w:tplc="8CDECA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7141A"/>
    <w:multiLevelType w:val="hybridMultilevel"/>
    <w:tmpl w:val="D564DA3A"/>
    <w:lvl w:ilvl="0" w:tplc="B022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C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C2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5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7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6D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E9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E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0F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10059">
    <w:abstractNumId w:val="0"/>
  </w:num>
  <w:num w:numId="2" w16cid:durableId="159640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2F"/>
    <w:rsid w:val="00083222"/>
    <w:rsid w:val="00085932"/>
    <w:rsid w:val="000A339D"/>
    <w:rsid w:val="000C5F43"/>
    <w:rsid w:val="000D0B82"/>
    <w:rsid w:val="000E1B9D"/>
    <w:rsid w:val="00115A53"/>
    <w:rsid w:val="001547E6"/>
    <w:rsid w:val="00184326"/>
    <w:rsid w:val="00185B23"/>
    <w:rsid w:val="001C5451"/>
    <w:rsid w:val="001D0B40"/>
    <w:rsid w:val="001E3881"/>
    <w:rsid w:val="001F3D50"/>
    <w:rsid w:val="001F568D"/>
    <w:rsid w:val="002378A2"/>
    <w:rsid w:val="00241451"/>
    <w:rsid w:val="00275857"/>
    <w:rsid w:val="00290268"/>
    <w:rsid w:val="002B0A29"/>
    <w:rsid w:val="002B47B0"/>
    <w:rsid w:val="002C06FB"/>
    <w:rsid w:val="002C0A0B"/>
    <w:rsid w:val="002C2DF3"/>
    <w:rsid w:val="002D3BE4"/>
    <w:rsid w:val="002F1FF9"/>
    <w:rsid w:val="00313BD6"/>
    <w:rsid w:val="00363B9F"/>
    <w:rsid w:val="003778F2"/>
    <w:rsid w:val="003961B5"/>
    <w:rsid w:val="003A078A"/>
    <w:rsid w:val="003D1282"/>
    <w:rsid w:val="00405966"/>
    <w:rsid w:val="004377F6"/>
    <w:rsid w:val="00454B98"/>
    <w:rsid w:val="0049222F"/>
    <w:rsid w:val="004A23EE"/>
    <w:rsid w:val="004B351B"/>
    <w:rsid w:val="00506F40"/>
    <w:rsid w:val="00527CB1"/>
    <w:rsid w:val="00535245"/>
    <w:rsid w:val="00537D2E"/>
    <w:rsid w:val="00572576"/>
    <w:rsid w:val="00577F4A"/>
    <w:rsid w:val="0059124C"/>
    <w:rsid w:val="005C003E"/>
    <w:rsid w:val="005D1227"/>
    <w:rsid w:val="005E434D"/>
    <w:rsid w:val="006152A2"/>
    <w:rsid w:val="00616173"/>
    <w:rsid w:val="006205FD"/>
    <w:rsid w:val="006331C3"/>
    <w:rsid w:val="00673E20"/>
    <w:rsid w:val="006B270D"/>
    <w:rsid w:val="006C329F"/>
    <w:rsid w:val="006D2F39"/>
    <w:rsid w:val="006E09B5"/>
    <w:rsid w:val="00704060"/>
    <w:rsid w:val="007C743A"/>
    <w:rsid w:val="00817482"/>
    <w:rsid w:val="00837EC0"/>
    <w:rsid w:val="008402F2"/>
    <w:rsid w:val="00850C71"/>
    <w:rsid w:val="0086610E"/>
    <w:rsid w:val="008C5B77"/>
    <w:rsid w:val="008C61D9"/>
    <w:rsid w:val="008E402B"/>
    <w:rsid w:val="008E7BB2"/>
    <w:rsid w:val="009237BB"/>
    <w:rsid w:val="00964A9A"/>
    <w:rsid w:val="009908B1"/>
    <w:rsid w:val="009A3D88"/>
    <w:rsid w:val="009A5D8D"/>
    <w:rsid w:val="009B66D2"/>
    <w:rsid w:val="009C2B9B"/>
    <w:rsid w:val="009D627C"/>
    <w:rsid w:val="009E6D1D"/>
    <w:rsid w:val="00A1202C"/>
    <w:rsid w:val="00A170BF"/>
    <w:rsid w:val="00A54B9B"/>
    <w:rsid w:val="00AB1BDE"/>
    <w:rsid w:val="00AB3423"/>
    <w:rsid w:val="00AC1B05"/>
    <w:rsid w:val="00AD1999"/>
    <w:rsid w:val="00AE05ED"/>
    <w:rsid w:val="00AE4FAA"/>
    <w:rsid w:val="00AF406D"/>
    <w:rsid w:val="00B12358"/>
    <w:rsid w:val="00B22CA7"/>
    <w:rsid w:val="00B35F15"/>
    <w:rsid w:val="00B51815"/>
    <w:rsid w:val="00B7254E"/>
    <w:rsid w:val="00B75C1F"/>
    <w:rsid w:val="00B844E0"/>
    <w:rsid w:val="00B9452A"/>
    <w:rsid w:val="00BB782B"/>
    <w:rsid w:val="00BD48FB"/>
    <w:rsid w:val="00BE0F76"/>
    <w:rsid w:val="00C014FE"/>
    <w:rsid w:val="00C12527"/>
    <w:rsid w:val="00C32272"/>
    <w:rsid w:val="00C678DA"/>
    <w:rsid w:val="00C718B0"/>
    <w:rsid w:val="00CA7A24"/>
    <w:rsid w:val="00D706B6"/>
    <w:rsid w:val="00DF7B99"/>
    <w:rsid w:val="00E62681"/>
    <w:rsid w:val="00E77454"/>
    <w:rsid w:val="00E87952"/>
    <w:rsid w:val="00ED6741"/>
    <w:rsid w:val="00EF0305"/>
    <w:rsid w:val="00F06E52"/>
    <w:rsid w:val="00F10F74"/>
    <w:rsid w:val="00F1655D"/>
    <w:rsid w:val="00F27932"/>
    <w:rsid w:val="00F40BEF"/>
    <w:rsid w:val="00F41A46"/>
    <w:rsid w:val="00F70689"/>
    <w:rsid w:val="00F77789"/>
    <w:rsid w:val="00FA5371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7FD"/>
  <w15:chartTrackingRefBased/>
  <w15:docId w15:val="{B8BE9FAE-6313-7643-A663-79158DA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6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6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6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0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3B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B9D"/>
    <w:rPr>
      <w:b/>
      <w:bCs/>
    </w:rPr>
  </w:style>
  <w:style w:type="character" w:customStyle="1" w:styleId="apple-converted-space">
    <w:name w:val="apple-converted-space"/>
    <w:basedOn w:val="DefaultParagraphFont"/>
    <w:rsid w:val="009A3D88"/>
  </w:style>
  <w:style w:type="paragraph" w:styleId="Revision">
    <w:name w:val="Revision"/>
    <w:hidden/>
    <w:uiPriority w:val="99"/>
    <w:semiHidden/>
    <w:rsid w:val="0092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potts@icb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d186944e50c383c9f4053b9e7a5f8cee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3bd2f8c33ad12d2b9aca3bcc012ccc3f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58069-E646-4C18-AEB3-03DF9631E5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DEE8FD8F-6D59-460B-8E11-0C361FD5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75BB-A9C4-46A5-BA5B-CF97D949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Yerkes</dc:creator>
  <cp:lastModifiedBy>Molly Bennett</cp:lastModifiedBy>
  <cp:revision>3</cp:revision>
  <dcterms:created xsi:type="dcterms:W3CDTF">2022-09-22T21:24:00Z</dcterms:created>
  <dcterms:modified xsi:type="dcterms:W3CDTF">2022-09-22T21:24:00Z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