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2CED" w14:textId="4A0985FF" w:rsidR="003E3858" w:rsidRPr="00843674" w:rsidRDefault="00843674" w:rsidP="003E3858">
      <w:pPr>
        <w:rPr>
          <w:rFonts w:ascii="Cambria" w:hAnsi="Cambria"/>
        </w:rPr>
      </w:pPr>
      <w:r w:rsidRPr="00843674">
        <w:rPr>
          <w:rFonts w:ascii="Cambria" w:hAnsi="Cambria"/>
        </w:rPr>
        <w:t>Independent Banker</w:t>
      </w:r>
    </w:p>
    <w:p w14:paraId="6A666AC4" w14:textId="089B9DB8" w:rsidR="00843674" w:rsidRPr="00843674" w:rsidRDefault="00843674" w:rsidP="003E3858">
      <w:pPr>
        <w:rPr>
          <w:rFonts w:ascii="Cambria" w:hAnsi="Cambria"/>
        </w:rPr>
      </w:pPr>
      <w:r w:rsidRPr="00843674">
        <w:rPr>
          <w:rFonts w:ascii="Cambria" w:hAnsi="Cambria"/>
        </w:rPr>
        <w:t>Portfolio</w:t>
      </w:r>
    </w:p>
    <w:p w14:paraId="54FE5C6B" w14:textId="0C403296" w:rsidR="00843674" w:rsidRPr="00843674" w:rsidRDefault="00843674" w:rsidP="003E3858">
      <w:pPr>
        <w:rPr>
          <w:rFonts w:ascii="Cambria" w:hAnsi="Cambria"/>
        </w:rPr>
      </w:pPr>
      <w:r w:rsidRPr="00843674">
        <w:rPr>
          <w:rFonts w:ascii="Cambria" w:hAnsi="Cambria"/>
        </w:rPr>
        <w:t>May 2022</w:t>
      </w:r>
    </w:p>
    <w:p w14:paraId="15E16229" w14:textId="027F852E" w:rsidR="00843674" w:rsidRPr="00843674" w:rsidRDefault="00843674" w:rsidP="003E3858">
      <w:pPr>
        <w:rPr>
          <w:rFonts w:ascii="Cambria" w:hAnsi="Cambria"/>
        </w:rPr>
      </w:pPr>
    </w:p>
    <w:p w14:paraId="7124F7B8" w14:textId="712BE987" w:rsidR="00843674" w:rsidRPr="00843674" w:rsidRDefault="00843674" w:rsidP="003E3858">
      <w:pPr>
        <w:rPr>
          <w:rFonts w:ascii="Cambria" w:hAnsi="Cambria"/>
        </w:rPr>
      </w:pPr>
      <w:r w:rsidRPr="00843674">
        <w:rPr>
          <w:rFonts w:ascii="Cambria" w:hAnsi="Cambria"/>
        </w:rPr>
        <w:t>[tag] Innovation Station</w:t>
      </w:r>
    </w:p>
    <w:p w14:paraId="3CAADEAC" w14:textId="022D53AA" w:rsidR="00843674" w:rsidRPr="00843674" w:rsidRDefault="00843674" w:rsidP="003E3858">
      <w:pPr>
        <w:rPr>
          <w:rFonts w:ascii="Cambria" w:hAnsi="Cambria"/>
        </w:rPr>
      </w:pPr>
    </w:p>
    <w:p w14:paraId="6C1FBC37" w14:textId="7B28F932" w:rsidR="0044374D" w:rsidRDefault="00843674" w:rsidP="00843674">
      <w:pPr>
        <w:rPr>
          <w:rFonts w:ascii="Cambria" w:hAnsi="Cambria"/>
        </w:rPr>
      </w:pPr>
      <w:r w:rsidRPr="00843674">
        <w:rPr>
          <w:rFonts w:ascii="Cambria" w:hAnsi="Cambria"/>
        </w:rPr>
        <w:t xml:space="preserve">[hed] </w:t>
      </w:r>
      <w:r w:rsidR="00E15339">
        <w:rPr>
          <w:rFonts w:ascii="Cambria" w:hAnsi="Cambria"/>
        </w:rPr>
        <w:t>Back-office innovation</w:t>
      </w:r>
    </w:p>
    <w:p w14:paraId="312A8CA7" w14:textId="4862A9ED" w:rsidR="00843674" w:rsidRDefault="00843674" w:rsidP="00843674">
      <w:pPr>
        <w:rPr>
          <w:rFonts w:ascii="Cambria" w:hAnsi="Cambria"/>
        </w:rPr>
      </w:pPr>
    </w:p>
    <w:p w14:paraId="1B3B56D7" w14:textId="05BA9134" w:rsidR="00D11165" w:rsidRPr="00843674" w:rsidRDefault="00843674" w:rsidP="00843674">
      <w:pPr>
        <w:rPr>
          <w:rFonts w:ascii="Cambria" w:hAnsi="Cambria"/>
        </w:rPr>
      </w:pPr>
      <w:r>
        <w:rPr>
          <w:rFonts w:ascii="Cambria" w:hAnsi="Cambria"/>
        </w:rPr>
        <w:t xml:space="preserve">[byline] </w:t>
      </w:r>
      <w:r w:rsidR="00D11165" w:rsidRPr="00843674">
        <w:rPr>
          <w:rFonts w:ascii="Cambria" w:eastAsia="Times New Roman" w:hAnsi="Cambria" w:cs="Times New Roman"/>
          <w:color w:val="000000"/>
        </w:rPr>
        <w:t>By Charles Potts, ICBA</w:t>
      </w:r>
    </w:p>
    <w:p w14:paraId="47B8CB23" w14:textId="77777777" w:rsidR="00D11165" w:rsidRPr="00843674" w:rsidRDefault="00D11165" w:rsidP="00956BBB">
      <w:pPr>
        <w:rPr>
          <w:rFonts w:ascii="Cambria" w:hAnsi="Cambria"/>
        </w:rPr>
      </w:pPr>
    </w:p>
    <w:p w14:paraId="0AC3099A" w14:textId="44205D31" w:rsidR="00AC0B87" w:rsidRPr="00843674" w:rsidRDefault="00843674" w:rsidP="00D05A8E">
      <w:pPr>
        <w:rPr>
          <w:rFonts w:ascii="Cambria" w:hAnsi="Cambria"/>
        </w:rPr>
      </w:pPr>
      <w:r>
        <w:rPr>
          <w:rFonts w:ascii="Cambria" w:hAnsi="Cambria"/>
        </w:rPr>
        <w:t>[body]</w:t>
      </w:r>
    </w:p>
    <w:p w14:paraId="4F244E38" w14:textId="670B8575" w:rsidR="00D60625" w:rsidRPr="00843674" w:rsidRDefault="000D0C61" w:rsidP="00A478BD">
      <w:pPr>
        <w:rPr>
          <w:rFonts w:ascii="Cambria" w:hAnsi="Cambria"/>
        </w:rPr>
      </w:pPr>
      <w:r w:rsidRPr="00843674">
        <w:rPr>
          <w:rFonts w:ascii="Cambria" w:hAnsi="Cambria"/>
        </w:rPr>
        <w:t xml:space="preserve">Community bankers are embracing innovation </w:t>
      </w:r>
      <w:r w:rsidR="00843674">
        <w:rPr>
          <w:rFonts w:ascii="Cambria" w:hAnsi="Cambria"/>
        </w:rPr>
        <w:t>like</w:t>
      </w:r>
      <w:r w:rsidRPr="00843674">
        <w:rPr>
          <w:rFonts w:ascii="Cambria" w:hAnsi="Cambria"/>
        </w:rPr>
        <w:t xml:space="preserve"> never before</w:t>
      </w:r>
      <w:r w:rsidR="00D65A52">
        <w:rPr>
          <w:rFonts w:ascii="Cambria" w:hAnsi="Cambria"/>
        </w:rPr>
        <w:t>—</w:t>
      </w:r>
      <w:r w:rsidR="00674B8C" w:rsidRPr="00843674">
        <w:rPr>
          <w:rFonts w:ascii="Cambria" w:hAnsi="Cambria"/>
        </w:rPr>
        <w:t xml:space="preserve">with impressive results. </w:t>
      </w:r>
      <w:r w:rsidR="00D60625" w:rsidRPr="00843674">
        <w:rPr>
          <w:rFonts w:ascii="Cambria" w:hAnsi="Cambria"/>
        </w:rPr>
        <w:t xml:space="preserve">But with so much emphasis placed on customer-facing products and technologies, innovating back-office operations can fall to the bottom of the priority list. </w:t>
      </w:r>
      <w:r w:rsidR="00D726C0">
        <w:rPr>
          <w:rFonts w:ascii="Cambria" w:hAnsi="Cambria"/>
        </w:rPr>
        <w:t>ICBA</w:t>
      </w:r>
      <w:r w:rsidR="00D60625" w:rsidRPr="00843674">
        <w:rPr>
          <w:rFonts w:ascii="Cambria" w:hAnsi="Cambria"/>
        </w:rPr>
        <w:t xml:space="preserve"> see</w:t>
      </w:r>
      <w:r w:rsidR="00D726C0">
        <w:rPr>
          <w:rFonts w:ascii="Cambria" w:hAnsi="Cambria"/>
        </w:rPr>
        <w:t>s</w:t>
      </w:r>
      <w:r w:rsidR="00D60625" w:rsidRPr="00843674">
        <w:rPr>
          <w:rFonts w:ascii="Cambria" w:hAnsi="Cambria"/>
        </w:rPr>
        <w:t xml:space="preserve"> things differently. We believe operations is the “engine” that drives every aspect of banking and, ultimately, the bottom line. </w:t>
      </w:r>
    </w:p>
    <w:p w14:paraId="2B56C2E7" w14:textId="6EA89F27" w:rsidR="000C3584" w:rsidRDefault="000D0C61" w:rsidP="00A478BD">
      <w:pPr>
        <w:rPr>
          <w:rFonts w:ascii="Cambria" w:hAnsi="Cambria"/>
        </w:rPr>
      </w:pPr>
      <w:r w:rsidRPr="00843674">
        <w:rPr>
          <w:rFonts w:ascii="Cambria" w:hAnsi="Cambria"/>
        </w:rPr>
        <w:t xml:space="preserve">Operations </w:t>
      </w:r>
      <w:r w:rsidR="00182BB0" w:rsidRPr="00843674">
        <w:rPr>
          <w:rFonts w:ascii="Cambria" w:hAnsi="Cambria"/>
        </w:rPr>
        <w:t xml:space="preserve">play a role </w:t>
      </w:r>
      <w:r w:rsidR="00D65A52">
        <w:rPr>
          <w:rFonts w:ascii="Cambria" w:hAnsi="Cambria"/>
        </w:rPr>
        <w:t>across multiple facets of community banking</w:t>
      </w:r>
      <w:r w:rsidR="00E15339">
        <w:rPr>
          <w:rFonts w:ascii="Cambria" w:hAnsi="Cambria"/>
        </w:rPr>
        <w:t>,</w:t>
      </w:r>
      <w:r w:rsidR="00D65A52">
        <w:rPr>
          <w:rFonts w:ascii="Cambria" w:hAnsi="Cambria"/>
        </w:rPr>
        <w:t xml:space="preserve"> including</w:t>
      </w:r>
      <w:r w:rsidR="00D65A52" w:rsidRPr="00843674">
        <w:rPr>
          <w:rFonts w:ascii="Cambria" w:hAnsi="Cambria"/>
        </w:rPr>
        <w:t xml:space="preserve"> </w:t>
      </w:r>
      <w:r w:rsidRPr="00843674">
        <w:rPr>
          <w:rFonts w:ascii="Cambria" w:hAnsi="Cambria"/>
        </w:rPr>
        <w:t xml:space="preserve">account onboarding, payments and transactions, fraud analysis, compliance </w:t>
      </w:r>
      <w:r w:rsidR="00282B48" w:rsidRPr="00843674">
        <w:rPr>
          <w:rFonts w:ascii="Cambria" w:hAnsi="Cambria"/>
        </w:rPr>
        <w:t xml:space="preserve">and </w:t>
      </w:r>
      <w:r w:rsidRPr="00843674">
        <w:rPr>
          <w:rFonts w:ascii="Cambria" w:hAnsi="Cambria"/>
        </w:rPr>
        <w:t>regulatory guidelines. Without the finely tuned engine of operations</w:t>
      </w:r>
      <w:r w:rsidR="00433AB5" w:rsidRPr="00843674">
        <w:rPr>
          <w:rFonts w:ascii="Cambria" w:hAnsi="Cambria"/>
        </w:rPr>
        <w:t xml:space="preserve">, these </w:t>
      </w:r>
      <w:r w:rsidR="00282B48" w:rsidRPr="00843674">
        <w:rPr>
          <w:rFonts w:ascii="Cambria" w:hAnsi="Cambria"/>
        </w:rPr>
        <w:t xml:space="preserve">critical </w:t>
      </w:r>
      <w:r w:rsidR="00433AB5" w:rsidRPr="00843674">
        <w:rPr>
          <w:rFonts w:ascii="Cambria" w:hAnsi="Cambria"/>
        </w:rPr>
        <w:t xml:space="preserve">functions </w:t>
      </w:r>
      <w:r w:rsidR="003B02C9" w:rsidRPr="00843674">
        <w:rPr>
          <w:rFonts w:ascii="Cambria" w:hAnsi="Cambria"/>
        </w:rPr>
        <w:t>c</w:t>
      </w:r>
      <w:r w:rsidR="00433AB5" w:rsidRPr="00843674">
        <w:rPr>
          <w:rFonts w:ascii="Cambria" w:hAnsi="Cambria"/>
        </w:rPr>
        <w:t>ould slow and possibly stall</w:t>
      </w:r>
      <w:r w:rsidR="00E54F60" w:rsidRPr="00843674">
        <w:rPr>
          <w:rFonts w:ascii="Cambria" w:hAnsi="Cambria"/>
        </w:rPr>
        <w:t xml:space="preserve">, </w:t>
      </w:r>
      <w:r w:rsidR="00E14DDE" w:rsidRPr="00843674">
        <w:rPr>
          <w:rFonts w:ascii="Cambria" w:hAnsi="Cambria"/>
        </w:rPr>
        <w:t>delaying essential, customer-facing services.</w:t>
      </w:r>
    </w:p>
    <w:p w14:paraId="54682124" w14:textId="2C87228F" w:rsidR="00E14DDE" w:rsidRPr="00843674" w:rsidRDefault="003B02C9" w:rsidP="00A478BD">
      <w:pPr>
        <w:rPr>
          <w:rFonts w:ascii="Cambria" w:hAnsi="Cambria"/>
        </w:rPr>
      </w:pPr>
      <w:r w:rsidRPr="00843674">
        <w:rPr>
          <w:rFonts w:ascii="Cambria" w:hAnsi="Cambria"/>
        </w:rPr>
        <w:t xml:space="preserve">On a practical level, </w:t>
      </w:r>
      <w:r w:rsidR="00EE4EE1">
        <w:rPr>
          <w:rFonts w:ascii="Cambria" w:hAnsi="Cambria"/>
        </w:rPr>
        <w:t>what</w:t>
      </w:r>
      <w:r w:rsidR="00282B48" w:rsidRPr="00843674">
        <w:rPr>
          <w:rFonts w:ascii="Cambria" w:hAnsi="Cambria"/>
        </w:rPr>
        <w:t xml:space="preserve"> steps </w:t>
      </w:r>
      <w:r w:rsidR="00EE4EE1">
        <w:rPr>
          <w:rFonts w:ascii="Cambria" w:hAnsi="Cambria"/>
        </w:rPr>
        <w:t xml:space="preserve">can </w:t>
      </w:r>
      <w:r w:rsidRPr="00843674">
        <w:rPr>
          <w:rFonts w:ascii="Cambria" w:hAnsi="Cambria"/>
        </w:rPr>
        <w:t xml:space="preserve">community banks </w:t>
      </w:r>
      <w:r w:rsidR="00282B48" w:rsidRPr="00843674">
        <w:rPr>
          <w:rFonts w:ascii="Cambria" w:hAnsi="Cambria"/>
        </w:rPr>
        <w:t xml:space="preserve">take </w:t>
      </w:r>
      <w:r w:rsidRPr="00843674">
        <w:rPr>
          <w:rFonts w:ascii="Cambria" w:hAnsi="Cambria"/>
        </w:rPr>
        <w:t>to strengthen their back-office operations?</w:t>
      </w:r>
    </w:p>
    <w:p w14:paraId="00ECC0DB" w14:textId="54C0F0A5" w:rsidR="00180A01" w:rsidRPr="00220F5C" w:rsidRDefault="00EE4EE1" w:rsidP="00220F5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20F5C">
        <w:rPr>
          <w:rFonts w:ascii="Cambria" w:hAnsi="Cambria"/>
          <w:b/>
          <w:bCs/>
        </w:rPr>
        <w:t>U</w:t>
      </w:r>
      <w:r w:rsidR="000D0C61" w:rsidRPr="00220F5C">
        <w:rPr>
          <w:rFonts w:ascii="Cambria" w:hAnsi="Cambria"/>
          <w:b/>
          <w:bCs/>
        </w:rPr>
        <w:t xml:space="preserve">nbundle </w:t>
      </w:r>
      <w:r w:rsidR="009E10D0" w:rsidRPr="00220F5C">
        <w:rPr>
          <w:rFonts w:ascii="Cambria" w:hAnsi="Cambria"/>
          <w:b/>
          <w:bCs/>
        </w:rPr>
        <w:t xml:space="preserve">your end-to-end operations </w:t>
      </w:r>
      <w:r w:rsidR="000D0C61" w:rsidRPr="00220F5C">
        <w:rPr>
          <w:rFonts w:ascii="Cambria" w:hAnsi="Cambria"/>
          <w:b/>
          <w:bCs/>
        </w:rPr>
        <w:t>and conduct</w:t>
      </w:r>
      <w:r w:rsidR="009E10D0" w:rsidRPr="00220F5C">
        <w:rPr>
          <w:rFonts w:ascii="Cambria" w:hAnsi="Cambria"/>
          <w:b/>
          <w:bCs/>
        </w:rPr>
        <w:t xml:space="preserve"> a SWOT analysis</w:t>
      </w:r>
      <w:r w:rsidRPr="00220F5C">
        <w:rPr>
          <w:rFonts w:ascii="Cambria" w:hAnsi="Cambria"/>
          <w:b/>
          <w:bCs/>
        </w:rPr>
        <w:t>.</w:t>
      </w:r>
      <w:r w:rsidR="004C65D4" w:rsidRPr="00220F5C">
        <w:rPr>
          <w:rFonts w:ascii="Cambria" w:hAnsi="Cambria"/>
        </w:rPr>
        <w:t xml:space="preserve"> </w:t>
      </w:r>
      <w:r w:rsidR="00947780">
        <w:rPr>
          <w:rFonts w:ascii="Cambria" w:hAnsi="Cambria"/>
        </w:rPr>
        <w:t xml:space="preserve">This can </w:t>
      </w:r>
      <w:r w:rsidR="003B02C9" w:rsidRPr="00220F5C">
        <w:rPr>
          <w:rFonts w:ascii="Cambria" w:hAnsi="Cambria"/>
        </w:rPr>
        <w:t xml:space="preserve">identify </w:t>
      </w:r>
      <w:r w:rsidR="004C65D4" w:rsidRPr="00220F5C">
        <w:rPr>
          <w:rFonts w:ascii="Cambria" w:hAnsi="Cambria"/>
        </w:rPr>
        <w:t xml:space="preserve">your operational strengths, weaknesses, opportunities and threats. </w:t>
      </w:r>
      <w:r w:rsidR="003B02C9" w:rsidRPr="00220F5C">
        <w:rPr>
          <w:rFonts w:ascii="Cambria" w:hAnsi="Cambria"/>
        </w:rPr>
        <w:t>You might also consider a gap analysis</w:t>
      </w:r>
      <w:r w:rsidR="000D0C61" w:rsidRPr="00220F5C">
        <w:rPr>
          <w:rFonts w:ascii="Cambria" w:hAnsi="Cambria"/>
        </w:rPr>
        <w:t xml:space="preserve">. </w:t>
      </w:r>
      <w:r w:rsidR="003B02C9" w:rsidRPr="00220F5C">
        <w:rPr>
          <w:rFonts w:ascii="Cambria" w:hAnsi="Cambria"/>
        </w:rPr>
        <w:t>Are there places</w:t>
      </w:r>
      <w:r w:rsidR="000D0C61" w:rsidRPr="00220F5C">
        <w:rPr>
          <w:rFonts w:ascii="Cambria" w:hAnsi="Cambria"/>
        </w:rPr>
        <w:t xml:space="preserve"> where you can replace redundant manual labor with automated tools like artificial intelligence (AI), robotic process automation (RPA) and machine learning</w:t>
      </w:r>
      <w:r w:rsidR="003B02C9" w:rsidRPr="00220F5C">
        <w:rPr>
          <w:rFonts w:ascii="Cambria" w:hAnsi="Cambria"/>
        </w:rPr>
        <w:t>?</w:t>
      </w:r>
    </w:p>
    <w:p w14:paraId="7B75C731" w14:textId="7C51E6FE" w:rsidR="003B02C9" w:rsidRPr="00220F5C" w:rsidRDefault="00947780" w:rsidP="00220F5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20F5C">
        <w:rPr>
          <w:rFonts w:ascii="Cambria" w:hAnsi="Cambria"/>
          <w:b/>
          <w:bCs/>
        </w:rPr>
        <w:t>C</w:t>
      </w:r>
      <w:r w:rsidR="00E27163" w:rsidRPr="00220F5C">
        <w:rPr>
          <w:rFonts w:ascii="Cambria" w:hAnsi="Cambria"/>
          <w:b/>
          <w:bCs/>
        </w:rPr>
        <w:t xml:space="preserve">onsider </w:t>
      </w:r>
      <w:r w:rsidR="000D0C61" w:rsidRPr="00220F5C">
        <w:rPr>
          <w:rFonts w:ascii="Cambria" w:hAnsi="Cambria"/>
          <w:b/>
          <w:bCs/>
        </w:rPr>
        <w:t xml:space="preserve">collaboration </w:t>
      </w:r>
      <w:r w:rsidR="00E27163" w:rsidRPr="00220F5C">
        <w:rPr>
          <w:rFonts w:ascii="Cambria" w:hAnsi="Cambria"/>
          <w:b/>
          <w:bCs/>
        </w:rPr>
        <w:t>opportunities</w:t>
      </w:r>
      <w:r w:rsidR="003B02C9" w:rsidRPr="00220F5C">
        <w:rPr>
          <w:rFonts w:ascii="Cambria" w:hAnsi="Cambria"/>
          <w:b/>
          <w:bCs/>
        </w:rPr>
        <w:t>.</w:t>
      </w:r>
      <w:r w:rsidR="00452942" w:rsidRPr="00220F5C">
        <w:rPr>
          <w:rFonts w:ascii="Cambria" w:hAnsi="Cambria"/>
        </w:rPr>
        <w:t xml:space="preserve"> </w:t>
      </w:r>
      <w:r w:rsidR="00E27163" w:rsidRPr="00220F5C">
        <w:rPr>
          <w:rFonts w:ascii="Cambria" w:hAnsi="Cambria"/>
        </w:rPr>
        <w:t xml:space="preserve">Community banks </w:t>
      </w:r>
      <w:r w:rsidR="00452942" w:rsidRPr="00220F5C">
        <w:rPr>
          <w:rFonts w:ascii="Cambria" w:hAnsi="Cambria"/>
        </w:rPr>
        <w:t xml:space="preserve">have </w:t>
      </w:r>
      <w:r w:rsidR="00E27163" w:rsidRPr="00220F5C">
        <w:rPr>
          <w:rFonts w:ascii="Cambria" w:hAnsi="Cambria"/>
        </w:rPr>
        <w:t xml:space="preserve">always done what was necessary to meet the needs of their customers. </w:t>
      </w:r>
      <w:r w:rsidR="00452942" w:rsidRPr="00220F5C">
        <w:rPr>
          <w:rFonts w:ascii="Cambria" w:hAnsi="Cambria"/>
        </w:rPr>
        <w:t xml:space="preserve">Paycheck Protection Program (PPP) loans are just one example of how </w:t>
      </w:r>
      <w:r w:rsidR="00994217" w:rsidRPr="00220F5C">
        <w:rPr>
          <w:rFonts w:ascii="Cambria" w:hAnsi="Cambria"/>
        </w:rPr>
        <w:t xml:space="preserve">bank staff </w:t>
      </w:r>
      <w:r w:rsidR="00E27163" w:rsidRPr="00220F5C">
        <w:rPr>
          <w:rFonts w:ascii="Cambria" w:hAnsi="Cambria"/>
        </w:rPr>
        <w:t>dug deep and rallied around their community</w:t>
      </w:r>
      <w:r w:rsidR="00994217" w:rsidRPr="00220F5C">
        <w:rPr>
          <w:rFonts w:ascii="Cambria" w:hAnsi="Cambria"/>
        </w:rPr>
        <w:t xml:space="preserve"> to get the job done.</w:t>
      </w:r>
      <w:r w:rsidR="003B02C9" w:rsidRPr="00220F5C">
        <w:rPr>
          <w:rFonts w:ascii="Cambria" w:hAnsi="Cambria"/>
        </w:rPr>
        <w:t xml:space="preserve"> </w:t>
      </w:r>
    </w:p>
    <w:p w14:paraId="5F2BFAE3" w14:textId="39A39E95" w:rsidR="00E15339" w:rsidRDefault="00AB392D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20F5C">
        <w:rPr>
          <w:rFonts w:ascii="Cambria" w:hAnsi="Cambria"/>
          <w:b/>
          <w:bCs/>
        </w:rPr>
        <w:t>Partner</w:t>
      </w:r>
      <w:r w:rsidR="003B02C9" w:rsidRPr="00220F5C">
        <w:rPr>
          <w:rFonts w:ascii="Cambria" w:hAnsi="Cambria"/>
          <w:b/>
          <w:bCs/>
        </w:rPr>
        <w:t xml:space="preserve"> with a </w:t>
      </w:r>
      <w:r w:rsidRPr="00220F5C">
        <w:rPr>
          <w:rFonts w:ascii="Cambria" w:hAnsi="Cambria"/>
          <w:b/>
          <w:bCs/>
        </w:rPr>
        <w:t>bank-enabling technology</w:t>
      </w:r>
      <w:r w:rsidR="003B02C9" w:rsidRPr="00220F5C">
        <w:rPr>
          <w:rFonts w:ascii="Cambria" w:hAnsi="Cambria"/>
          <w:b/>
          <w:bCs/>
        </w:rPr>
        <w:t xml:space="preserve"> service provider</w:t>
      </w:r>
      <w:r w:rsidR="00947780" w:rsidRPr="00220F5C">
        <w:rPr>
          <w:rFonts w:ascii="Cambria" w:hAnsi="Cambria"/>
          <w:b/>
          <w:bCs/>
        </w:rPr>
        <w:t xml:space="preserve">. </w:t>
      </w:r>
      <w:r w:rsidR="00947780">
        <w:rPr>
          <w:rFonts w:ascii="Cambria" w:hAnsi="Cambria"/>
        </w:rPr>
        <w:t>Doing so</w:t>
      </w:r>
      <w:r w:rsidR="003B02C9" w:rsidRPr="00220F5C">
        <w:rPr>
          <w:rFonts w:ascii="Cambria" w:hAnsi="Cambria"/>
        </w:rPr>
        <w:t xml:space="preserve"> </w:t>
      </w:r>
      <w:r w:rsidRPr="00220F5C">
        <w:rPr>
          <w:rFonts w:ascii="Cambria" w:hAnsi="Cambria"/>
        </w:rPr>
        <w:t xml:space="preserve">can be tremendously beneficial in </w:t>
      </w:r>
      <w:r w:rsidR="00947780">
        <w:rPr>
          <w:rFonts w:ascii="Cambria" w:hAnsi="Cambria"/>
        </w:rPr>
        <w:t>automating</w:t>
      </w:r>
      <w:r w:rsidR="003B02C9" w:rsidRPr="00220F5C">
        <w:rPr>
          <w:rFonts w:ascii="Cambria" w:hAnsi="Cambria"/>
        </w:rPr>
        <w:t xml:space="preserve"> </w:t>
      </w:r>
      <w:r w:rsidRPr="00220F5C">
        <w:rPr>
          <w:rFonts w:ascii="Cambria" w:hAnsi="Cambria"/>
        </w:rPr>
        <w:t xml:space="preserve">resource-intensive </w:t>
      </w:r>
      <w:r w:rsidR="003B02C9" w:rsidRPr="00220F5C">
        <w:rPr>
          <w:rFonts w:ascii="Cambria" w:hAnsi="Cambria"/>
        </w:rPr>
        <w:t>back-office procedures and processes.</w:t>
      </w:r>
      <w:r w:rsidR="004E3304" w:rsidRPr="00220F5C">
        <w:rPr>
          <w:rFonts w:ascii="Cambria" w:hAnsi="Cambria"/>
        </w:rPr>
        <w:t xml:space="preserve"> T</w:t>
      </w:r>
      <w:r w:rsidRPr="00220F5C">
        <w:rPr>
          <w:rFonts w:ascii="Cambria" w:hAnsi="Cambria"/>
        </w:rPr>
        <w:t xml:space="preserve">here </w:t>
      </w:r>
      <w:r w:rsidR="00E15339">
        <w:rPr>
          <w:rFonts w:ascii="Cambria" w:hAnsi="Cambria"/>
        </w:rPr>
        <w:t>is</w:t>
      </w:r>
      <w:r w:rsidR="00E15339" w:rsidRPr="00220F5C">
        <w:rPr>
          <w:rFonts w:ascii="Cambria" w:hAnsi="Cambria"/>
        </w:rPr>
        <w:t xml:space="preserve"> </w:t>
      </w:r>
      <w:r w:rsidRPr="00220F5C">
        <w:rPr>
          <w:rFonts w:ascii="Cambria" w:hAnsi="Cambria"/>
        </w:rPr>
        <w:t xml:space="preserve">a plethora of options to help </w:t>
      </w:r>
      <w:r w:rsidR="000D0C61" w:rsidRPr="00220F5C">
        <w:rPr>
          <w:rFonts w:ascii="Cambria" w:hAnsi="Cambria"/>
        </w:rPr>
        <w:t>automate compliance requirements, including Know Your Customer</w:t>
      </w:r>
      <w:r w:rsidR="00EE4EE1" w:rsidRPr="00220F5C">
        <w:rPr>
          <w:rFonts w:ascii="Cambria" w:hAnsi="Cambria"/>
        </w:rPr>
        <w:t xml:space="preserve"> (KYC)</w:t>
      </w:r>
      <w:r w:rsidR="000D0C61" w:rsidRPr="00220F5C">
        <w:rPr>
          <w:rFonts w:ascii="Cambria" w:hAnsi="Cambria"/>
        </w:rPr>
        <w:t>, Bank Secrecy Act</w:t>
      </w:r>
      <w:r w:rsidR="00EE4EE1" w:rsidRPr="00220F5C">
        <w:rPr>
          <w:rFonts w:ascii="Cambria" w:hAnsi="Cambria"/>
        </w:rPr>
        <w:t xml:space="preserve"> (BSA)</w:t>
      </w:r>
      <w:r w:rsidR="000D0C61" w:rsidRPr="00220F5C">
        <w:rPr>
          <w:rFonts w:ascii="Cambria" w:hAnsi="Cambria"/>
        </w:rPr>
        <w:t>/</w:t>
      </w:r>
      <w:r w:rsidR="00EE4EE1" w:rsidRPr="00220F5C">
        <w:rPr>
          <w:rFonts w:ascii="Cambria" w:hAnsi="Cambria"/>
        </w:rPr>
        <w:t>a</w:t>
      </w:r>
      <w:r w:rsidR="000D0C61" w:rsidRPr="00220F5C">
        <w:rPr>
          <w:rFonts w:ascii="Cambria" w:hAnsi="Cambria"/>
        </w:rPr>
        <w:t>nti-</w:t>
      </w:r>
      <w:r w:rsidR="00EE4EE1" w:rsidRPr="00220F5C">
        <w:rPr>
          <w:rFonts w:ascii="Cambria" w:hAnsi="Cambria"/>
        </w:rPr>
        <w:t>m</w:t>
      </w:r>
      <w:r w:rsidR="000D0C61" w:rsidRPr="00220F5C">
        <w:rPr>
          <w:rFonts w:ascii="Cambria" w:hAnsi="Cambria"/>
        </w:rPr>
        <w:t xml:space="preserve">oney </w:t>
      </w:r>
      <w:r w:rsidR="00EE4EE1" w:rsidRPr="00220F5C">
        <w:rPr>
          <w:rFonts w:ascii="Cambria" w:hAnsi="Cambria"/>
        </w:rPr>
        <w:t>l</w:t>
      </w:r>
      <w:r w:rsidR="000D0C61" w:rsidRPr="00220F5C">
        <w:rPr>
          <w:rFonts w:ascii="Cambria" w:hAnsi="Cambria"/>
        </w:rPr>
        <w:t>aundering</w:t>
      </w:r>
      <w:r w:rsidR="00EE4EE1" w:rsidRPr="00220F5C">
        <w:rPr>
          <w:rFonts w:ascii="Cambria" w:hAnsi="Cambria"/>
        </w:rPr>
        <w:t xml:space="preserve"> (AML)</w:t>
      </w:r>
      <w:r w:rsidR="00E15339">
        <w:rPr>
          <w:rFonts w:ascii="Cambria" w:hAnsi="Cambria"/>
        </w:rPr>
        <w:t xml:space="preserve"> and </w:t>
      </w:r>
      <w:r w:rsidR="000D0C61" w:rsidRPr="00220F5C">
        <w:rPr>
          <w:rFonts w:ascii="Cambria" w:hAnsi="Cambria"/>
        </w:rPr>
        <w:t xml:space="preserve">loan applications, </w:t>
      </w:r>
      <w:r w:rsidR="004E3304" w:rsidRPr="00220F5C">
        <w:rPr>
          <w:rFonts w:ascii="Cambria" w:hAnsi="Cambria"/>
        </w:rPr>
        <w:t>as well as other back-office processes.</w:t>
      </w:r>
      <w:r w:rsidR="000D0C61" w:rsidRPr="00220F5C">
        <w:rPr>
          <w:rFonts w:ascii="Cambria" w:hAnsi="Cambria"/>
        </w:rPr>
        <w:t xml:space="preserve"> </w:t>
      </w:r>
    </w:p>
    <w:p w14:paraId="5C2DE9C3" w14:textId="686DC89C" w:rsidR="00367686" w:rsidRPr="00E15339" w:rsidRDefault="00367686" w:rsidP="00E15339"/>
    <w:p w14:paraId="73931CA8" w14:textId="1822F3C8" w:rsidR="005E3122" w:rsidRPr="00843674" w:rsidRDefault="004E3304" w:rsidP="00E15339">
      <w:r w:rsidRPr="00843674">
        <w:t xml:space="preserve">With increased automation, community banks can make </w:t>
      </w:r>
      <w:r w:rsidR="00FA6B55" w:rsidRPr="00843674">
        <w:t xml:space="preserve">meaningful structural changes </w:t>
      </w:r>
      <w:r w:rsidR="0055594D" w:rsidRPr="00843674">
        <w:t>to</w:t>
      </w:r>
      <w:r w:rsidR="00FA6B55" w:rsidRPr="00843674">
        <w:t xml:space="preserve"> personnel</w:t>
      </w:r>
      <w:r w:rsidR="00E15339">
        <w:t>. This can</w:t>
      </w:r>
      <w:r w:rsidR="00650949" w:rsidRPr="00843674">
        <w:t xml:space="preserve"> </w:t>
      </w:r>
      <w:r w:rsidR="00FA6B55" w:rsidRPr="00843674">
        <w:t>reduce costs</w:t>
      </w:r>
      <w:r w:rsidR="000D0C61" w:rsidRPr="00843674">
        <w:t xml:space="preserve"> and redirect </w:t>
      </w:r>
      <w:r w:rsidR="00E15339">
        <w:t>employees</w:t>
      </w:r>
      <w:r w:rsidR="00E15339" w:rsidRPr="00843674">
        <w:t xml:space="preserve"> </w:t>
      </w:r>
      <w:r w:rsidR="000D0C61" w:rsidRPr="00843674">
        <w:t xml:space="preserve">to identify exceptions and serve in a post-task audit function. </w:t>
      </w:r>
    </w:p>
    <w:p w14:paraId="42CBA809" w14:textId="77777777" w:rsidR="004338F4" w:rsidRDefault="004338F4" w:rsidP="00FA6B55">
      <w:pPr>
        <w:rPr>
          <w:rFonts w:ascii="Cambria" w:hAnsi="Cambria"/>
        </w:rPr>
      </w:pPr>
    </w:p>
    <w:p w14:paraId="646D0D6B" w14:textId="0FEF063E" w:rsidR="00947780" w:rsidRDefault="00947780" w:rsidP="00FA6B55">
      <w:pPr>
        <w:rPr>
          <w:rFonts w:ascii="Cambria" w:hAnsi="Cambria"/>
        </w:rPr>
      </w:pPr>
      <w:r>
        <w:rPr>
          <w:rFonts w:ascii="Cambria" w:hAnsi="Cambria"/>
        </w:rPr>
        <w:t>[subhed]</w:t>
      </w:r>
      <w:r w:rsidR="004338F4">
        <w:rPr>
          <w:rFonts w:ascii="Cambria" w:hAnsi="Cambria"/>
        </w:rPr>
        <w:t xml:space="preserve"> Minimizing friction</w:t>
      </w:r>
    </w:p>
    <w:p w14:paraId="10BF3F74" w14:textId="6CC3F26C" w:rsidR="004E3304" w:rsidRPr="00843674" w:rsidRDefault="004E3304" w:rsidP="00FA6B55">
      <w:pPr>
        <w:rPr>
          <w:rFonts w:ascii="Cambria" w:hAnsi="Cambria"/>
        </w:rPr>
      </w:pPr>
      <w:r w:rsidRPr="00843674">
        <w:rPr>
          <w:rFonts w:ascii="Cambria" w:hAnsi="Cambria"/>
        </w:rPr>
        <w:t>Community</w:t>
      </w:r>
      <w:r w:rsidR="000D0C61" w:rsidRPr="00843674">
        <w:rPr>
          <w:rFonts w:ascii="Cambria" w:hAnsi="Cambria"/>
        </w:rPr>
        <w:t xml:space="preserve"> banks may </w:t>
      </w:r>
      <w:r w:rsidR="00C140DE" w:rsidRPr="00843674">
        <w:rPr>
          <w:rFonts w:ascii="Cambria" w:hAnsi="Cambria"/>
        </w:rPr>
        <w:t xml:space="preserve">also </w:t>
      </w:r>
      <w:r w:rsidR="000D0C61" w:rsidRPr="00843674">
        <w:rPr>
          <w:rFonts w:ascii="Cambria" w:hAnsi="Cambria"/>
        </w:rPr>
        <w:t xml:space="preserve">want to explore </w:t>
      </w:r>
      <w:r w:rsidR="00E15339">
        <w:rPr>
          <w:rFonts w:ascii="Cambria" w:hAnsi="Cambria"/>
        </w:rPr>
        <w:t>b</w:t>
      </w:r>
      <w:r w:rsidR="00E15339" w:rsidRPr="00843674">
        <w:rPr>
          <w:rFonts w:ascii="Cambria" w:hAnsi="Cambria"/>
        </w:rPr>
        <w:t xml:space="preserve">anking </w:t>
      </w:r>
      <w:r w:rsidR="000D0C61" w:rsidRPr="00843674">
        <w:rPr>
          <w:rFonts w:ascii="Cambria" w:hAnsi="Cambria"/>
        </w:rPr>
        <w:t xml:space="preserve">as a </w:t>
      </w:r>
      <w:r w:rsidR="00E15339">
        <w:rPr>
          <w:rFonts w:ascii="Cambria" w:hAnsi="Cambria"/>
        </w:rPr>
        <w:t>s</w:t>
      </w:r>
      <w:r w:rsidR="00E15339" w:rsidRPr="00843674">
        <w:rPr>
          <w:rFonts w:ascii="Cambria" w:hAnsi="Cambria"/>
        </w:rPr>
        <w:t xml:space="preserve">ervice </w:t>
      </w:r>
      <w:r w:rsidR="000D0C61" w:rsidRPr="00843674">
        <w:rPr>
          <w:rFonts w:ascii="Cambria" w:hAnsi="Cambria"/>
        </w:rPr>
        <w:t xml:space="preserve">(BaaS). BaaS uses </w:t>
      </w:r>
      <w:r w:rsidR="00E15339">
        <w:rPr>
          <w:rFonts w:ascii="Cambria" w:hAnsi="Cambria"/>
        </w:rPr>
        <w:t>a</w:t>
      </w:r>
      <w:r w:rsidR="00E15339" w:rsidRPr="00843674">
        <w:rPr>
          <w:rFonts w:ascii="Cambria" w:hAnsi="Cambria"/>
        </w:rPr>
        <w:t xml:space="preserve">pplication </w:t>
      </w:r>
      <w:r w:rsidR="00E15339">
        <w:rPr>
          <w:rFonts w:ascii="Cambria" w:hAnsi="Cambria"/>
        </w:rPr>
        <w:t>p</w:t>
      </w:r>
      <w:r w:rsidR="00E15339" w:rsidRPr="00843674">
        <w:rPr>
          <w:rFonts w:ascii="Cambria" w:hAnsi="Cambria"/>
        </w:rPr>
        <w:t xml:space="preserve">rogramming </w:t>
      </w:r>
      <w:r w:rsidR="00E15339">
        <w:rPr>
          <w:rFonts w:ascii="Cambria" w:hAnsi="Cambria"/>
        </w:rPr>
        <w:t>o</w:t>
      </w:r>
      <w:r w:rsidR="00E15339" w:rsidRPr="00843674">
        <w:rPr>
          <w:rFonts w:ascii="Cambria" w:hAnsi="Cambria"/>
        </w:rPr>
        <w:t xml:space="preserve">nterfaces </w:t>
      </w:r>
      <w:r w:rsidR="00861F1E" w:rsidRPr="00843674">
        <w:rPr>
          <w:rFonts w:ascii="Cambria" w:hAnsi="Cambria"/>
        </w:rPr>
        <w:t xml:space="preserve">(APIs) </w:t>
      </w:r>
      <w:r w:rsidR="00C140DE" w:rsidRPr="00843674">
        <w:rPr>
          <w:rFonts w:ascii="Cambria" w:hAnsi="Cambria"/>
        </w:rPr>
        <w:t xml:space="preserve">to enable </w:t>
      </w:r>
      <w:r w:rsidRPr="00843674">
        <w:rPr>
          <w:rFonts w:ascii="Cambria" w:hAnsi="Cambria"/>
        </w:rPr>
        <w:t xml:space="preserve">nonbank entities to build bank offerings on top of their infrastructure. </w:t>
      </w:r>
      <w:r w:rsidR="007203A8" w:rsidRPr="00843674">
        <w:rPr>
          <w:rFonts w:ascii="Cambria" w:hAnsi="Cambria"/>
        </w:rPr>
        <w:t xml:space="preserve">Using this model, licensed banks can integrate </w:t>
      </w:r>
      <w:r w:rsidR="007203A8" w:rsidRPr="00843674">
        <w:rPr>
          <w:rFonts w:ascii="Cambria" w:hAnsi="Cambria"/>
        </w:rPr>
        <w:lastRenderedPageBreak/>
        <w:t xml:space="preserve">banking services directly into products created by nonbank businesses. </w:t>
      </w:r>
      <w:r w:rsidRPr="00843674">
        <w:rPr>
          <w:rFonts w:ascii="Cambria" w:hAnsi="Cambria"/>
        </w:rPr>
        <w:t>This means that companies like Uber and Apple can embed financial services into their platform.</w:t>
      </w:r>
    </w:p>
    <w:p w14:paraId="3E25C9AD" w14:textId="41BBCE94" w:rsidR="00660E04" w:rsidRPr="00843674" w:rsidRDefault="00660E04" w:rsidP="00660E04">
      <w:pPr>
        <w:rPr>
          <w:rFonts w:ascii="Cambria" w:hAnsi="Cambria"/>
        </w:rPr>
      </w:pPr>
      <w:r w:rsidRPr="00843674">
        <w:rPr>
          <w:rFonts w:ascii="Cambria" w:hAnsi="Cambria"/>
        </w:rPr>
        <w:t>Take, for example, $7.1 billion-asset Metropolitan Commercial Bank in New York</w:t>
      </w:r>
      <w:r w:rsidR="00EE4EE1">
        <w:rPr>
          <w:rFonts w:ascii="Cambria" w:hAnsi="Cambria"/>
        </w:rPr>
        <w:t xml:space="preserve"> City</w:t>
      </w:r>
      <w:r w:rsidRPr="00843674">
        <w:rPr>
          <w:rFonts w:ascii="Cambria" w:hAnsi="Cambria"/>
        </w:rPr>
        <w:t xml:space="preserve">, which launched its Global Payments Group (a pillar of its BaaS business) to support its middle-market commercial customers. This BaaS approach has been financially advantageous for the bank. In 2021, the </w:t>
      </w:r>
      <w:hyperlink r:id="rId10" w:history="1">
        <w:r w:rsidRPr="00843674">
          <w:rPr>
            <w:rStyle w:val="Hyperlink"/>
            <w:rFonts w:ascii="Cambria" w:hAnsi="Cambria"/>
          </w:rPr>
          <w:t>bank reported</w:t>
        </w:r>
      </w:hyperlink>
      <w:r w:rsidRPr="00843674">
        <w:rPr>
          <w:rFonts w:ascii="Cambria" w:hAnsi="Cambria"/>
        </w:rPr>
        <w:t xml:space="preserve"> that its Global Payments Group processed over 90 million client transactions totaling $22.1 billion</w:t>
      </w:r>
      <w:r w:rsidR="00E15339">
        <w:rPr>
          <w:rFonts w:ascii="Cambria" w:hAnsi="Cambria"/>
        </w:rPr>
        <w:t>,</w:t>
      </w:r>
      <w:r w:rsidR="004338F4">
        <w:rPr>
          <w:rFonts w:ascii="Cambria" w:hAnsi="Cambria"/>
        </w:rPr>
        <w:t xml:space="preserve"> which</w:t>
      </w:r>
      <w:r w:rsidRPr="00843674">
        <w:rPr>
          <w:rFonts w:ascii="Cambria" w:hAnsi="Cambria"/>
        </w:rPr>
        <w:t xml:space="preserve"> account</w:t>
      </w:r>
      <w:r w:rsidR="004338F4">
        <w:rPr>
          <w:rFonts w:ascii="Cambria" w:hAnsi="Cambria"/>
        </w:rPr>
        <w:t>s</w:t>
      </w:r>
      <w:r w:rsidRPr="00843674">
        <w:rPr>
          <w:rFonts w:ascii="Cambria" w:hAnsi="Cambria"/>
        </w:rPr>
        <w:t xml:space="preserve"> for 69</w:t>
      </w:r>
      <w:r w:rsidR="00E15339">
        <w:rPr>
          <w:rFonts w:ascii="Cambria" w:hAnsi="Cambria"/>
        </w:rPr>
        <w:t>%</w:t>
      </w:r>
      <w:r w:rsidRPr="00843674">
        <w:rPr>
          <w:rFonts w:ascii="Cambria" w:hAnsi="Cambria"/>
        </w:rPr>
        <w:t xml:space="preserve"> of its non-interest revenue. </w:t>
      </w:r>
    </w:p>
    <w:p w14:paraId="50EBA265" w14:textId="45B2F8B4" w:rsidR="004C58FE" w:rsidRPr="00843674" w:rsidRDefault="000D0C61" w:rsidP="00FA6B55">
      <w:pPr>
        <w:rPr>
          <w:rFonts w:ascii="Cambria" w:hAnsi="Cambria"/>
        </w:rPr>
      </w:pPr>
      <w:r w:rsidRPr="00843674">
        <w:rPr>
          <w:rFonts w:ascii="Cambria" w:hAnsi="Cambria"/>
        </w:rPr>
        <w:t xml:space="preserve">Perhaps you’ve heard the platform business model and motto “Maximize </w:t>
      </w:r>
      <w:r w:rsidR="00E15339">
        <w:rPr>
          <w:rFonts w:ascii="Cambria" w:hAnsi="Cambria"/>
        </w:rPr>
        <w:t>c</w:t>
      </w:r>
      <w:r w:rsidR="00E15339" w:rsidRPr="00843674">
        <w:rPr>
          <w:rFonts w:ascii="Cambria" w:hAnsi="Cambria"/>
        </w:rPr>
        <w:t xml:space="preserve">ollisions </w:t>
      </w:r>
      <w:r w:rsidRPr="00843674">
        <w:rPr>
          <w:rFonts w:ascii="Cambria" w:hAnsi="Cambria"/>
        </w:rPr>
        <w:t xml:space="preserve">and </w:t>
      </w:r>
      <w:r w:rsidR="00E15339">
        <w:rPr>
          <w:rFonts w:ascii="Cambria" w:hAnsi="Cambria"/>
        </w:rPr>
        <w:t>m</w:t>
      </w:r>
      <w:r w:rsidR="00E15339" w:rsidRPr="00843674">
        <w:rPr>
          <w:rFonts w:ascii="Cambria" w:hAnsi="Cambria"/>
        </w:rPr>
        <w:t xml:space="preserve">inimize </w:t>
      </w:r>
      <w:r w:rsidR="00E15339">
        <w:rPr>
          <w:rFonts w:ascii="Cambria" w:hAnsi="Cambria"/>
        </w:rPr>
        <w:t>f</w:t>
      </w:r>
      <w:r w:rsidR="00E15339" w:rsidRPr="00843674">
        <w:rPr>
          <w:rFonts w:ascii="Cambria" w:hAnsi="Cambria"/>
        </w:rPr>
        <w:t>riction</w:t>
      </w:r>
      <w:r w:rsidRPr="00843674">
        <w:rPr>
          <w:rFonts w:ascii="Cambria" w:hAnsi="Cambria"/>
        </w:rPr>
        <w:t xml:space="preserve">.” </w:t>
      </w:r>
      <w:r w:rsidR="00E15339">
        <w:rPr>
          <w:rFonts w:ascii="Cambria" w:hAnsi="Cambria"/>
        </w:rPr>
        <w:t>&lt;i&gt;</w:t>
      </w:r>
      <w:r w:rsidR="004C58FE" w:rsidRPr="00843674">
        <w:rPr>
          <w:rFonts w:ascii="Cambria" w:hAnsi="Cambria"/>
          <w:i/>
          <w:iCs/>
        </w:rPr>
        <w:t>Technology and Innovation</w:t>
      </w:r>
      <w:r w:rsidR="00E15339">
        <w:rPr>
          <w:rFonts w:ascii="Cambria" w:hAnsi="Cambria"/>
          <w:i/>
          <w:iCs/>
        </w:rPr>
        <w:t>&lt;i&gt;</w:t>
      </w:r>
      <w:r w:rsidR="00861F1E" w:rsidRPr="00843674">
        <w:rPr>
          <w:rFonts w:ascii="Cambria" w:hAnsi="Cambria"/>
        </w:rPr>
        <w:t xml:space="preserve"> e</w:t>
      </w:r>
      <w:r w:rsidRPr="00843674">
        <w:rPr>
          <w:rFonts w:ascii="Cambria" w:hAnsi="Cambria"/>
        </w:rPr>
        <w:t>xplains it this way: "Simply, successful platforms increase the quantity (</w:t>
      </w:r>
      <w:r w:rsidR="00650949" w:rsidRPr="00843674">
        <w:rPr>
          <w:rFonts w:ascii="Cambria" w:hAnsi="Cambria"/>
        </w:rPr>
        <w:t>m</w:t>
      </w:r>
      <w:r w:rsidRPr="00843674">
        <w:rPr>
          <w:rFonts w:ascii="Cambria" w:hAnsi="Cambria"/>
        </w:rPr>
        <w:t xml:space="preserve">aximize </w:t>
      </w:r>
      <w:r w:rsidR="00650949" w:rsidRPr="00843674">
        <w:rPr>
          <w:rFonts w:ascii="Cambria" w:hAnsi="Cambria"/>
        </w:rPr>
        <w:t>c</w:t>
      </w:r>
      <w:r w:rsidRPr="00843674">
        <w:rPr>
          <w:rFonts w:ascii="Cambria" w:hAnsi="Cambria"/>
        </w:rPr>
        <w:t>ollisions) and quality (</w:t>
      </w:r>
      <w:r w:rsidR="00650949" w:rsidRPr="00843674">
        <w:rPr>
          <w:rFonts w:ascii="Cambria" w:hAnsi="Cambria"/>
        </w:rPr>
        <w:t>m</w:t>
      </w:r>
      <w:r w:rsidRPr="00843674">
        <w:rPr>
          <w:rFonts w:ascii="Cambria" w:hAnsi="Cambria"/>
        </w:rPr>
        <w:t xml:space="preserve">inimize </w:t>
      </w:r>
      <w:r w:rsidR="00650949" w:rsidRPr="00843674">
        <w:rPr>
          <w:rFonts w:ascii="Cambria" w:hAnsi="Cambria"/>
        </w:rPr>
        <w:t>f</w:t>
      </w:r>
      <w:r w:rsidRPr="00843674">
        <w:rPr>
          <w:rFonts w:ascii="Cambria" w:hAnsi="Cambria"/>
        </w:rPr>
        <w:t>riction) of interactions between producers and consumers</w:t>
      </w:r>
      <w:r w:rsidR="004C58FE" w:rsidRPr="00843674">
        <w:rPr>
          <w:rFonts w:ascii="Cambria" w:hAnsi="Cambria"/>
        </w:rPr>
        <w:t>.</w:t>
      </w:r>
      <w:r w:rsidR="00EE4EE1">
        <w:rPr>
          <w:rFonts w:ascii="Cambria" w:hAnsi="Cambria"/>
        </w:rPr>
        <w:t>”</w:t>
      </w:r>
    </w:p>
    <w:p w14:paraId="1D54B700" w14:textId="7DFBF737" w:rsidR="00960787" w:rsidRPr="00843674" w:rsidRDefault="000D0C61" w:rsidP="00960787">
      <w:pPr>
        <w:rPr>
          <w:rFonts w:ascii="Cambria" w:hAnsi="Cambria"/>
        </w:rPr>
      </w:pPr>
      <w:r w:rsidRPr="00843674">
        <w:rPr>
          <w:rFonts w:ascii="Cambria" w:hAnsi="Cambria"/>
        </w:rPr>
        <w:t xml:space="preserve">As bankers, we learn this during </w:t>
      </w:r>
      <w:r w:rsidR="000976C0" w:rsidRPr="00843674">
        <w:rPr>
          <w:rFonts w:ascii="Cambria" w:hAnsi="Cambria"/>
        </w:rPr>
        <w:t xml:space="preserve">our </w:t>
      </w:r>
      <w:r w:rsidRPr="00843674">
        <w:rPr>
          <w:rFonts w:ascii="Cambria" w:hAnsi="Cambria"/>
        </w:rPr>
        <w:t>first day in management training. Our job is to remove barriers and friction for our customers</w:t>
      </w:r>
      <w:r w:rsidR="00960787" w:rsidRPr="00843674">
        <w:rPr>
          <w:rFonts w:ascii="Cambria" w:hAnsi="Cambria"/>
        </w:rPr>
        <w:t xml:space="preserve">. </w:t>
      </w:r>
      <w:r w:rsidR="007203A8" w:rsidRPr="00843674">
        <w:rPr>
          <w:rFonts w:ascii="Cambria" w:hAnsi="Cambria"/>
        </w:rPr>
        <w:t>It’s up to us to walk the walk every day to improve</w:t>
      </w:r>
      <w:r w:rsidR="00960787" w:rsidRPr="00843674">
        <w:rPr>
          <w:rFonts w:ascii="Cambria" w:hAnsi="Cambria"/>
        </w:rPr>
        <w:t xml:space="preserve"> back-office operations and </w:t>
      </w:r>
      <w:r w:rsidR="007203A8" w:rsidRPr="00843674">
        <w:rPr>
          <w:rFonts w:ascii="Cambria" w:hAnsi="Cambria"/>
        </w:rPr>
        <w:t>collaboration</w:t>
      </w:r>
      <w:r w:rsidR="00960787" w:rsidRPr="00843674">
        <w:rPr>
          <w:rFonts w:ascii="Cambria" w:hAnsi="Cambria"/>
        </w:rPr>
        <w:t xml:space="preserve"> between the back and front office</w:t>
      </w:r>
      <w:r w:rsidR="007203A8" w:rsidRPr="00843674">
        <w:rPr>
          <w:rFonts w:ascii="Cambria" w:hAnsi="Cambria"/>
        </w:rPr>
        <w:t>s</w:t>
      </w:r>
      <w:r w:rsidR="00960787" w:rsidRPr="00843674">
        <w:rPr>
          <w:rFonts w:ascii="Cambria" w:hAnsi="Cambria"/>
        </w:rPr>
        <w:t xml:space="preserve">. </w:t>
      </w:r>
      <w:r w:rsidR="000976C0" w:rsidRPr="00843674">
        <w:rPr>
          <w:rFonts w:ascii="Cambria" w:hAnsi="Cambria"/>
        </w:rPr>
        <w:t xml:space="preserve">  </w:t>
      </w:r>
    </w:p>
    <w:p w14:paraId="33609372" w14:textId="7463179F" w:rsidR="00843674" w:rsidRPr="00843674" w:rsidRDefault="00843674" w:rsidP="00960787">
      <w:pPr>
        <w:rPr>
          <w:rFonts w:ascii="Cambria" w:hAnsi="Cambria"/>
        </w:rPr>
      </w:pPr>
      <w:r>
        <w:rPr>
          <w:rFonts w:ascii="Cambria" w:hAnsi="Cambria"/>
        </w:rPr>
        <w:t>[ends]</w:t>
      </w:r>
    </w:p>
    <w:p w14:paraId="16BB0FDB" w14:textId="69E18DAA" w:rsidR="00A77708" w:rsidRPr="00843674" w:rsidRDefault="00A77708" w:rsidP="00FA6B55">
      <w:pPr>
        <w:rPr>
          <w:rFonts w:ascii="Cambria" w:hAnsi="Cambria"/>
        </w:rPr>
      </w:pPr>
    </w:p>
    <w:p w14:paraId="5F0A0AC5" w14:textId="77777777" w:rsidR="00D11165" w:rsidRPr="00843674" w:rsidRDefault="00D11165" w:rsidP="00D11165">
      <w:pPr>
        <w:rPr>
          <w:rFonts w:ascii="Cambria" w:hAnsi="Cambria"/>
        </w:rPr>
      </w:pPr>
      <w:r w:rsidRPr="00843674">
        <w:rPr>
          <w:rStyle w:val="Strong"/>
          <w:rFonts w:ascii="Cambria" w:hAnsi="Cambria"/>
          <w:color w:val="000000"/>
        </w:rPr>
        <w:t>Charles Potts</w:t>
      </w:r>
      <w:r w:rsidRPr="00843674">
        <w:rPr>
          <w:rStyle w:val="apple-converted-space"/>
          <w:rFonts w:ascii="Cambria" w:hAnsi="Cambria"/>
          <w:color w:val="000000"/>
          <w:shd w:val="clear" w:color="auto" w:fill="FFFFFF"/>
        </w:rPr>
        <w:t> </w:t>
      </w:r>
      <w:r w:rsidRPr="00843674">
        <w:rPr>
          <w:rFonts w:ascii="Cambria" w:hAnsi="Cambria"/>
          <w:color w:val="000000"/>
          <w:shd w:val="clear" w:color="auto" w:fill="FFFFFF"/>
        </w:rPr>
        <w:t>(</w:t>
      </w:r>
      <w:hyperlink r:id="rId11" w:history="1">
        <w:r w:rsidRPr="00843674">
          <w:rPr>
            <w:rStyle w:val="Hyperlink"/>
            <w:rFonts w:ascii="Cambria" w:hAnsi="Cambria"/>
            <w:color w:val="6B9BC7"/>
          </w:rPr>
          <w:t>charles.potts@icba.org</w:t>
        </w:r>
      </w:hyperlink>
      <w:r w:rsidRPr="00843674">
        <w:rPr>
          <w:rFonts w:ascii="Cambria" w:hAnsi="Cambria"/>
          <w:color w:val="000000"/>
          <w:shd w:val="clear" w:color="auto" w:fill="FFFFFF"/>
        </w:rPr>
        <w:t>) is ICBA executive vice president and chief innovation officer</w:t>
      </w:r>
    </w:p>
    <w:p w14:paraId="0D04B24A" w14:textId="77777777" w:rsidR="00D11165" w:rsidRPr="00843674" w:rsidRDefault="00D11165" w:rsidP="00FA6B55">
      <w:pPr>
        <w:rPr>
          <w:rFonts w:ascii="Cambria" w:hAnsi="Cambria"/>
        </w:rPr>
      </w:pPr>
    </w:p>
    <w:sectPr w:rsidR="00D11165" w:rsidRPr="0084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0A82" w14:textId="77777777" w:rsidR="00AE7012" w:rsidRDefault="00AE7012">
      <w:r>
        <w:separator/>
      </w:r>
    </w:p>
  </w:endnote>
  <w:endnote w:type="continuationSeparator" w:id="0">
    <w:p w14:paraId="3D215812" w14:textId="77777777" w:rsidR="00AE7012" w:rsidRDefault="00A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137C" w14:textId="77777777" w:rsidR="00AE7012" w:rsidRDefault="00AE7012" w:rsidP="004C58FE">
      <w:r>
        <w:separator/>
      </w:r>
    </w:p>
  </w:footnote>
  <w:footnote w:type="continuationSeparator" w:id="0">
    <w:p w14:paraId="5F89B0ED" w14:textId="77777777" w:rsidR="00AE7012" w:rsidRDefault="00AE7012" w:rsidP="004C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5330"/>
    <w:multiLevelType w:val="hybridMultilevel"/>
    <w:tmpl w:val="EAD21590"/>
    <w:lvl w:ilvl="0" w:tplc="49FA6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FE4A8E" w:tentative="1">
      <w:start w:val="1"/>
      <w:numFmt w:val="lowerLetter"/>
      <w:lvlText w:val="%2."/>
      <w:lvlJc w:val="left"/>
      <w:pPr>
        <w:ind w:left="1080" w:hanging="360"/>
      </w:pPr>
    </w:lvl>
    <w:lvl w:ilvl="2" w:tplc="B4D4B176" w:tentative="1">
      <w:start w:val="1"/>
      <w:numFmt w:val="lowerRoman"/>
      <w:lvlText w:val="%3."/>
      <w:lvlJc w:val="right"/>
      <w:pPr>
        <w:ind w:left="1800" w:hanging="180"/>
      </w:pPr>
    </w:lvl>
    <w:lvl w:ilvl="3" w:tplc="7DCC8AB0" w:tentative="1">
      <w:start w:val="1"/>
      <w:numFmt w:val="decimal"/>
      <w:lvlText w:val="%4."/>
      <w:lvlJc w:val="left"/>
      <w:pPr>
        <w:ind w:left="2520" w:hanging="360"/>
      </w:pPr>
    </w:lvl>
    <w:lvl w:ilvl="4" w:tplc="02082C84" w:tentative="1">
      <w:start w:val="1"/>
      <w:numFmt w:val="lowerLetter"/>
      <w:lvlText w:val="%5."/>
      <w:lvlJc w:val="left"/>
      <w:pPr>
        <w:ind w:left="3240" w:hanging="360"/>
      </w:pPr>
    </w:lvl>
    <w:lvl w:ilvl="5" w:tplc="50263C2A" w:tentative="1">
      <w:start w:val="1"/>
      <w:numFmt w:val="lowerRoman"/>
      <w:lvlText w:val="%6."/>
      <w:lvlJc w:val="right"/>
      <w:pPr>
        <w:ind w:left="3960" w:hanging="180"/>
      </w:pPr>
    </w:lvl>
    <w:lvl w:ilvl="6" w:tplc="9C4A2936" w:tentative="1">
      <w:start w:val="1"/>
      <w:numFmt w:val="decimal"/>
      <w:lvlText w:val="%7."/>
      <w:lvlJc w:val="left"/>
      <w:pPr>
        <w:ind w:left="4680" w:hanging="360"/>
      </w:pPr>
    </w:lvl>
    <w:lvl w:ilvl="7" w:tplc="7E424C06" w:tentative="1">
      <w:start w:val="1"/>
      <w:numFmt w:val="lowerLetter"/>
      <w:lvlText w:val="%8."/>
      <w:lvlJc w:val="left"/>
      <w:pPr>
        <w:ind w:left="5400" w:hanging="360"/>
      </w:pPr>
    </w:lvl>
    <w:lvl w:ilvl="8" w:tplc="D7CA22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703DC"/>
    <w:multiLevelType w:val="hybridMultilevel"/>
    <w:tmpl w:val="86389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23A75"/>
    <w:multiLevelType w:val="hybridMultilevel"/>
    <w:tmpl w:val="30940878"/>
    <w:lvl w:ilvl="0" w:tplc="01BE4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328D18" w:tentative="1">
      <w:start w:val="1"/>
      <w:numFmt w:val="lowerLetter"/>
      <w:lvlText w:val="%2."/>
      <w:lvlJc w:val="left"/>
      <w:pPr>
        <w:ind w:left="1440" w:hanging="360"/>
      </w:pPr>
    </w:lvl>
    <w:lvl w:ilvl="2" w:tplc="71568426" w:tentative="1">
      <w:start w:val="1"/>
      <w:numFmt w:val="lowerRoman"/>
      <w:lvlText w:val="%3."/>
      <w:lvlJc w:val="right"/>
      <w:pPr>
        <w:ind w:left="2160" w:hanging="180"/>
      </w:pPr>
    </w:lvl>
    <w:lvl w:ilvl="3" w:tplc="1BF4DA7E" w:tentative="1">
      <w:start w:val="1"/>
      <w:numFmt w:val="decimal"/>
      <w:lvlText w:val="%4."/>
      <w:lvlJc w:val="left"/>
      <w:pPr>
        <w:ind w:left="2880" w:hanging="360"/>
      </w:pPr>
    </w:lvl>
    <w:lvl w:ilvl="4" w:tplc="CEB6BAFE" w:tentative="1">
      <w:start w:val="1"/>
      <w:numFmt w:val="lowerLetter"/>
      <w:lvlText w:val="%5."/>
      <w:lvlJc w:val="left"/>
      <w:pPr>
        <w:ind w:left="3600" w:hanging="360"/>
      </w:pPr>
    </w:lvl>
    <w:lvl w:ilvl="5" w:tplc="3ACE7970" w:tentative="1">
      <w:start w:val="1"/>
      <w:numFmt w:val="lowerRoman"/>
      <w:lvlText w:val="%6."/>
      <w:lvlJc w:val="right"/>
      <w:pPr>
        <w:ind w:left="4320" w:hanging="180"/>
      </w:pPr>
    </w:lvl>
    <w:lvl w:ilvl="6" w:tplc="1F48864C" w:tentative="1">
      <w:start w:val="1"/>
      <w:numFmt w:val="decimal"/>
      <w:lvlText w:val="%7."/>
      <w:lvlJc w:val="left"/>
      <w:pPr>
        <w:ind w:left="5040" w:hanging="360"/>
      </w:pPr>
    </w:lvl>
    <w:lvl w:ilvl="7" w:tplc="89FAB39C" w:tentative="1">
      <w:start w:val="1"/>
      <w:numFmt w:val="lowerLetter"/>
      <w:lvlText w:val="%8."/>
      <w:lvlJc w:val="left"/>
      <w:pPr>
        <w:ind w:left="5760" w:hanging="360"/>
      </w:pPr>
    </w:lvl>
    <w:lvl w:ilvl="8" w:tplc="06B6C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C4C6C"/>
    <w:multiLevelType w:val="hybridMultilevel"/>
    <w:tmpl w:val="0F28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4D"/>
    <w:rsid w:val="0000095B"/>
    <w:rsid w:val="0001315B"/>
    <w:rsid w:val="00072F10"/>
    <w:rsid w:val="00077C72"/>
    <w:rsid w:val="000976C0"/>
    <w:rsid w:val="000C3584"/>
    <w:rsid w:val="000D0C61"/>
    <w:rsid w:val="000D1DC3"/>
    <w:rsid w:val="00147F07"/>
    <w:rsid w:val="00153B8C"/>
    <w:rsid w:val="00180279"/>
    <w:rsid w:val="00180A01"/>
    <w:rsid w:val="00182BB0"/>
    <w:rsid w:val="00204706"/>
    <w:rsid w:val="00220F5C"/>
    <w:rsid w:val="002639DF"/>
    <w:rsid w:val="00282B48"/>
    <w:rsid w:val="002955DA"/>
    <w:rsid w:val="002B37FD"/>
    <w:rsid w:val="003538AA"/>
    <w:rsid w:val="00367686"/>
    <w:rsid w:val="003A5D87"/>
    <w:rsid w:val="003B02C9"/>
    <w:rsid w:val="003C5D88"/>
    <w:rsid w:val="003D4734"/>
    <w:rsid w:val="003E13E7"/>
    <w:rsid w:val="003E3858"/>
    <w:rsid w:val="004338F4"/>
    <w:rsid w:val="00433AB5"/>
    <w:rsid w:val="0043555A"/>
    <w:rsid w:val="0044374D"/>
    <w:rsid w:val="00452942"/>
    <w:rsid w:val="0048770D"/>
    <w:rsid w:val="004C58FE"/>
    <w:rsid w:val="004C65D4"/>
    <w:rsid w:val="004E32F9"/>
    <w:rsid w:val="004E3304"/>
    <w:rsid w:val="004E5C7E"/>
    <w:rsid w:val="004F57D7"/>
    <w:rsid w:val="004F664B"/>
    <w:rsid w:val="005012BA"/>
    <w:rsid w:val="0055594D"/>
    <w:rsid w:val="005B51BA"/>
    <w:rsid w:val="005E3122"/>
    <w:rsid w:val="005E5A5F"/>
    <w:rsid w:val="006447C0"/>
    <w:rsid w:val="00645608"/>
    <w:rsid w:val="00650949"/>
    <w:rsid w:val="00660E04"/>
    <w:rsid w:val="00670063"/>
    <w:rsid w:val="00674B8C"/>
    <w:rsid w:val="006B3D56"/>
    <w:rsid w:val="0070706A"/>
    <w:rsid w:val="007203A8"/>
    <w:rsid w:val="0077416B"/>
    <w:rsid w:val="00783DE6"/>
    <w:rsid w:val="007B0BD4"/>
    <w:rsid w:val="007B3193"/>
    <w:rsid w:val="007B7711"/>
    <w:rsid w:val="007C251B"/>
    <w:rsid w:val="00806F75"/>
    <w:rsid w:val="008153A8"/>
    <w:rsid w:val="00843674"/>
    <w:rsid w:val="008554EA"/>
    <w:rsid w:val="008574BC"/>
    <w:rsid w:val="00861F1E"/>
    <w:rsid w:val="009038CB"/>
    <w:rsid w:val="00916E49"/>
    <w:rsid w:val="00947780"/>
    <w:rsid w:val="00956BBB"/>
    <w:rsid w:val="00960787"/>
    <w:rsid w:val="00981768"/>
    <w:rsid w:val="00994217"/>
    <w:rsid w:val="009E10D0"/>
    <w:rsid w:val="00A478BD"/>
    <w:rsid w:val="00A77708"/>
    <w:rsid w:val="00A8536A"/>
    <w:rsid w:val="00AB392D"/>
    <w:rsid w:val="00AC0B87"/>
    <w:rsid w:val="00AD0D2E"/>
    <w:rsid w:val="00AE7012"/>
    <w:rsid w:val="00B33795"/>
    <w:rsid w:val="00B41057"/>
    <w:rsid w:val="00B5641D"/>
    <w:rsid w:val="00B80C7B"/>
    <w:rsid w:val="00B901C8"/>
    <w:rsid w:val="00BB4139"/>
    <w:rsid w:val="00BB7C18"/>
    <w:rsid w:val="00BD602A"/>
    <w:rsid w:val="00BF1D95"/>
    <w:rsid w:val="00BF60FA"/>
    <w:rsid w:val="00C00687"/>
    <w:rsid w:val="00C1081C"/>
    <w:rsid w:val="00C140DE"/>
    <w:rsid w:val="00C31034"/>
    <w:rsid w:val="00C753C6"/>
    <w:rsid w:val="00C80E6D"/>
    <w:rsid w:val="00CB209A"/>
    <w:rsid w:val="00CC5E0C"/>
    <w:rsid w:val="00CF2834"/>
    <w:rsid w:val="00CF5C40"/>
    <w:rsid w:val="00D05A8E"/>
    <w:rsid w:val="00D11154"/>
    <w:rsid w:val="00D11165"/>
    <w:rsid w:val="00D44B28"/>
    <w:rsid w:val="00D60625"/>
    <w:rsid w:val="00D65A52"/>
    <w:rsid w:val="00D726C0"/>
    <w:rsid w:val="00DF0909"/>
    <w:rsid w:val="00E14DDE"/>
    <w:rsid w:val="00E15339"/>
    <w:rsid w:val="00E22ECF"/>
    <w:rsid w:val="00E27163"/>
    <w:rsid w:val="00E36025"/>
    <w:rsid w:val="00E46330"/>
    <w:rsid w:val="00E54F60"/>
    <w:rsid w:val="00E660E8"/>
    <w:rsid w:val="00EE1CE0"/>
    <w:rsid w:val="00EE4EE1"/>
    <w:rsid w:val="00F16978"/>
    <w:rsid w:val="00F721C1"/>
    <w:rsid w:val="00F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D28F"/>
  <w15:chartTrackingRefBased/>
  <w15:docId w15:val="{C4E5DBF4-2B06-7746-BB5E-F228473F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1DC3"/>
  </w:style>
  <w:style w:type="paragraph" w:styleId="FootnoteText">
    <w:name w:val="footnote text"/>
    <w:basedOn w:val="Normal"/>
    <w:link w:val="FootnoteTextChar"/>
    <w:uiPriority w:val="99"/>
    <w:semiHidden/>
    <w:unhideWhenUsed/>
    <w:rsid w:val="004C5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8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8F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C5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58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58F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11165"/>
    <w:rPr>
      <w:i/>
      <w:iCs/>
    </w:rPr>
  </w:style>
  <w:style w:type="character" w:styleId="Strong">
    <w:name w:val="Strong"/>
    <w:basedOn w:val="DefaultParagraphFont"/>
    <w:uiPriority w:val="22"/>
    <w:qFormat/>
    <w:rsid w:val="00D11165"/>
    <w:rPr>
      <w:b/>
      <w:bCs/>
    </w:rPr>
  </w:style>
  <w:style w:type="paragraph" w:styleId="Revision">
    <w:name w:val="Revision"/>
    <w:hidden/>
    <w:uiPriority w:val="99"/>
    <w:semiHidden/>
    <w:rsid w:val="00282B48"/>
  </w:style>
  <w:style w:type="character" w:styleId="CommentReference">
    <w:name w:val="annotation reference"/>
    <w:basedOn w:val="DefaultParagraphFont"/>
    <w:uiPriority w:val="99"/>
    <w:semiHidden/>
    <w:unhideWhenUsed/>
    <w:rsid w:val="00E27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16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3E3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es.potts@icba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s25.q4cdn.com/875579831/files/doc_presentations/2022/01/Investor-Presentation-12.31.2021-Final-Updated-Vers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5" ma:contentTypeDescription="Create a new document." ma:contentTypeScope="" ma:versionID="8f27cfbab7181e324ecef8269bad2db6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8b6e9c7f441f940f4f4105f357ac680c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c2bd550-716e-42bf-a496-06b194d1b80a">
      <UserInfo>
        <DisplayName>Charles Potts</DisplayName>
        <AccountId>3110</AccountId>
        <AccountType/>
      </UserInfo>
      <UserInfo>
        <DisplayName>Nicole Swann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BD64C0-04B5-45CE-BF99-95880FBA4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21ADE-33E8-4032-9A28-A895C796A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ECF84-AEB8-43A7-98D2-EBB059C662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c2bd550-716e-42bf-a496-06b194d1b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Yerkes</dc:creator>
  <cp:lastModifiedBy>Molly Bennett</cp:lastModifiedBy>
  <cp:revision>3</cp:revision>
  <dcterms:created xsi:type="dcterms:W3CDTF">2022-03-29T19:00:00Z</dcterms:created>
  <dcterms:modified xsi:type="dcterms:W3CDTF">2022-03-29T19:00:00Z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