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7B51" w14:textId="2D4FA281" w:rsidR="0041754A" w:rsidRPr="001F243F" w:rsidRDefault="0041754A" w:rsidP="004175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3F">
        <w:rPr>
          <w:rFonts w:ascii="Times New Roman" w:hAnsi="Times New Roman" w:cs="Times New Roman"/>
          <w:sz w:val="24"/>
          <w:szCs w:val="24"/>
        </w:rPr>
        <w:t>Independent Banker</w:t>
      </w:r>
      <w:r w:rsidRPr="001F243F">
        <w:rPr>
          <w:rFonts w:ascii="Times New Roman" w:hAnsi="Times New Roman" w:cs="Times New Roman"/>
          <w:sz w:val="24"/>
          <w:szCs w:val="24"/>
        </w:rPr>
        <w:br/>
      </w:r>
      <w:r w:rsidR="009F22AB">
        <w:rPr>
          <w:rFonts w:ascii="Times New Roman" w:hAnsi="Times New Roman" w:cs="Times New Roman"/>
          <w:sz w:val="24"/>
          <w:szCs w:val="24"/>
        </w:rPr>
        <w:t>August</w:t>
      </w:r>
      <w:r w:rsidRPr="001F243F">
        <w:rPr>
          <w:rFonts w:ascii="Times New Roman" w:hAnsi="Times New Roman" w:cs="Times New Roman"/>
          <w:sz w:val="24"/>
          <w:szCs w:val="24"/>
        </w:rPr>
        <w:t xml:space="preserve"> 2023</w:t>
      </w:r>
      <w:r w:rsidRPr="001F243F"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3A250939" w14:textId="41BE44F3" w:rsidR="0041754A" w:rsidRPr="00417C0A" w:rsidRDefault="0041754A" w:rsidP="00417C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3F"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6F3FC0B4" w14:textId="2D4281E5" w:rsidR="004A3FF0" w:rsidRPr="00FE5A90" w:rsidRDefault="0041754A" w:rsidP="00417C0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[</w:t>
      </w:r>
      <w:proofErr w:type="spellStart"/>
      <w:r>
        <w:rPr>
          <w:rFonts w:ascii="Cambria" w:hAnsi="Cambria"/>
          <w:b/>
          <w:bCs/>
        </w:rPr>
        <w:t>hed</w:t>
      </w:r>
      <w:proofErr w:type="spellEnd"/>
      <w:r>
        <w:rPr>
          <w:rFonts w:ascii="Cambria" w:hAnsi="Cambria"/>
          <w:b/>
          <w:bCs/>
        </w:rPr>
        <w:t xml:space="preserve">] </w:t>
      </w:r>
      <w:r w:rsidR="004A3FF0">
        <w:rPr>
          <w:rFonts w:ascii="Cambria" w:hAnsi="Cambria"/>
          <w:b/>
          <w:bCs/>
        </w:rPr>
        <w:t xml:space="preserve">Budgeting for the </w:t>
      </w:r>
      <w:r>
        <w:rPr>
          <w:rFonts w:ascii="Cambria" w:hAnsi="Cambria"/>
          <w:b/>
          <w:bCs/>
        </w:rPr>
        <w:t>f</w:t>
      </w:r>
      <w:r w:rsidR="004A3FF0">
        <w:rPr>
          <w:rFonts w:ascii="Cambria" w:hAnsi="Cambria"/>
          <w:b/>
          <w:bCs/>
        </w:rPr>
        <w:t>uture</w:t>
      </w:r>
    </w:p>
    <w:p w14:paraId="04CCA0B7" w14:textId="6B7E093A" w:rsidR="0041754A" w:rsidRDefault="0041754A" w:rsidP="00417C0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[byline] </w:t>
      </w:r>
      <w:r w:rsidR="004A3FF0">
        <w:rPr>
          <w:rFonts w:ascii="Cambria" w:hAnsi="Cambria"/>
        </w:rPr>
        <w:t>By Charles E. Potts</w:t>
      </w:r>
    </w:p>
    <w:p w14:paraId="33A5F2D0" w14:textId="3A96BEF6" w:rsidR="004A3FF0" w:rsidRDefault="0041754A" w:rsidP="00417C0A">
      <w:pPr>
        <w:spacing w:line="276" w:lineRule="auto"/>
      </w:pPr>
      <w:r>
        <w:t>[body]</w:t>
      </w:r>
    </w:p>
    <w:p w14:paraId="3C26B8FD" w14:textId="5D34EA82" w:rsidR="00220B8F" w:rsidRDefault="004B35FA" w:rsidP="00417C0A">
      <w:pPr>
        <w:pStyle w:val="ListParagraph"/>
        <w:spacing w:after="160" w:line="276" w:lineRule="auto"/>
        <w:ind w:left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When it comes to budget, it all goes back to strategy. How you align your resources supports your direction as an organization. </w:t>
      </w:r>
      <w:r w:rsidR="005C1198">
        <w:rPr>
          <w:rFonts w:ascii="Cambria" w:eastAsia="Times New Roman" w:hAnsi="Cambria"/>
        </w:rPr>
        <w:t xml:space="preserve">The opportunities that emerge from action versus reaction can set a course for </w:t>
      </w:r>
      <w:r w:rsidR="009650A2">
        <w:rPr>
          <w:rFonts w:ascii="Cambria" w:eastAsia="Times New Roman" w:hAnsi="Cambria"/>
        </w:rPr>
        <w:t>a bank’s</w:t>
      </w:r>
      <w:r w:rsidR="005C1198">
        <w:rPr>
          <w:rFonts w:ascii="Cambria" w:eastAsia="Times New Roman" w:hAnsi="Cambria"/>
        </w:rPr>
        <w:t xml:space="preserve"> vision </w:t>
      </w:r>
      <w:r w:rsidR="00F866AB">
        <w:rPr>
          <w:rFonts w:ascii="Cambria" w:eastAsia="Times New Roman" w:hAnsi="Cambria"/>
        </w:rPr>
        <w:t xml:space="preserve">of </w:t>
      </w:r>
      <w:r w:rsidR="005C1198">
        <w:rPr>
          <w:rFonts w:ascii="Cambria" w:eastAsia="Times New Roman" w:hAnsi="Cambria"/>
        </w:rPr>
        <w:t>the future.</w:t>
      </w:r>
    </w:p>
    <w:p w14:paraId="45FBF3CC" w14:textId="1946A701" w:rsidR="00AD4E3F" w:rsidRDefault="00DA34ED" w:rsidP="00417C0A">
      <w:pPr>
        <w:pStyle w:val="ListParagraph"/>
        <w:spacing w:after="160" w:line="276" w:lineRule="auto"/>
        <w:ind w:left="0"/>
        <w:rPr>
          <w:rFonts w:ascii="Cambria" w:eastAsia="Times New Roman" w:hAnsi="Cambria"/>
        </w:rPr>
      </w:pPr>
      <w:bookmarkStart w:id="0" w:name="_Hlk138831127"/>
      <w:r>
        <w:rPr>
          <w:rFonts w:ascii="Cambria" w:eastAsia="Times New Roman" w:hAnsi="Cambria"/>
        </w:rPr>
        <w:t>S</w:t>
      </w:r>
      <w:r w:rsidR="002811D3">
        <w:rPr>
          <w:rFonts w:ascii="Cambria" w:eastAsia="Times New Roman" w:hAnsi="Cambria"/>
        </w:rPr>
        <w:t xml:space="preserve">ometimes, that means taking a leap </w:t>
      </w:r>
      <w:r w:rsidR="00931E80">
        <w:rPr>
          <w:rFonts w:ascii="Cambria" w:eastAsia="Times New Roman" w:hAnsi="Cambria"/>
        </w:rPr>
        <w:t>into</w:t>
      </w:r>
      <w:r w:rsidR="00911CFB">
        <w:rPr>
          <w:rFonts w:ascii="Cambria" w:eastAsia="Times New Roman" w:hAnsi="Cambria"/>
        </w:rPr>
        <w:t xml:space="preserve"> the unknown for a solution that has </w:t>
      </w:r>
      <w:r w:rsidR="00931E80">
        <w:rPr>
          <w:rFonts w:ascii="Cambria" w:eastAsia="Times New Roman" w:hAnsi="Cambria"/>
        </w:rPr>
        <w:t xml:space="preserve">clear </w:t>
      </w:r>
      <w:r w:rsidR="00CA2DB1">
        <w:rPr>
          <w:rFonts w:ascii="Cambria" w:eastAsia="Times New Roman" w:hAnsi="Cambria"/>
        </w:rPr>
        <w:t xml:space="preserve">potential </w:t>
      </w:r>
      <w:r w:rsidR="00931E80">
        <w:rPr>
          <w:rFonts w:ascii="Cambria" w:eastAsia="Times New Roman" w:hAnsi="Cambria"/>
        </w:rPr>
        <w:t xml:space="preserve">but </w:t>
      </w:r>
      <w:r w:rsidR="00510B6E">
        <w:rPr>
          <w:rFonts w:ascii="Cambria" w:eastAsia="Times New Roman" w:hAnsi="Cambria"/>
        </w:rPr>
        <w:t>may not offer</w:t>
      </w:r>
      <w:r w:rsidR="00931E80">
        <w:rPr>
          <w:rFonts w:ascii="Cambria" w:eastAsia="Times New Roman" w:hAnsi="Cambria"/>
        </w:rPr>
        <w:t xml:space="preserve"> certainty of an immediate turn. Take, for example, instant payments. </w:t>
      </w:r>
      <w:r w:rsidR="00044ACC">
        <w:rPr>
          <w:rFonts w:ascii="Cambria" w:eastAsia="Times New Roman" w:hAnsi="Cambria"/>
        </w:rPr>
        <w:t xml:space="preserve">With </w:t>
      </w:r>
      <w:proofErr w:type="spellStart"/>
      <w:r w:rsidR="00044ACC">
        <w:rPr>
          <w:rFonts w:ascii="Cambria" w:eastAsia="Times New Roman" w:hAnsi="Cambria"/>
        </w:rPr>
        <w:t>FedNow</w:t>
      </w:r>
      <w:proofErr w:type="spellEnd"/>
      <w:r w:rsidR="00044ACC">
        <w:rPr>
          <w:rFonts w:ascii="Cambria" w:eastAsia="Times New Roman" w:hAnsi="Cambria"/>
        </w:rPr>
        <w:t xml:space="preserve">, </w:t>
      </w:r>
      <w:r w:rsidR="00931E80">
        <w:rPr>
          <w:rFonts w:ascii="Cambria" w:eastAsia="Times New Roman" w:hAnsi="Cambria"/>
        </w:rPr>
        <w:t>use cases are still emerging</w:t>
      </w:r>
      <w:r w:rsidR="00AD4E3F">
        <w:rPr>
          <w:rFonts w:ascii="Cambria" w:eastAsia="Times New Roman" w:hAnsi="Cambria"/>
        </w:rPr>
        <w:t xml:space="preserve"> and evolving, but bankers know they need to act so they aren’t late to the game and chasing opportunities as an afterthought. </w:t>
      </w:r>
      <w:r w:rsidR="00D67F18">
        <w:rPr>
          <w:rFonts w:ascii="Cambria" w:eastAsia="Times New Roman" w:hAnsi="Cambria"/>
        </w:rPr>
        <w:t>Immediate financial returns notwithstanding, bankers realize that they need to invest</w:t>
      </w:r>
      <w:r w:rsidR="00CA2DB1">
        <w:rPr>
          <w:rFonts w:ascii="Cambria" w:eastAsia="Times New Roman" w:hAnsi="Cambria"/>
        </w:rPr>
        <w:t xml:space="preserve"> in instant payments</w:t>
      </w:r>
      <w:r w:rsidR="0041754A">
        <w:rPr>
          <w:rFonts w:ascii="Cambria" w:eastAsia="Times New Roman" w:hAnsi="Cambria"/>
        </w:rPr>
        <w:t xml:space="preserve"> to remain competitive</w:t>
      </w:r>
      <w:r w:rsidR="00D67F18">
        <w:rPr>
          <w:rFonts w:ascii="Cambria" w:eastAsia="Times New Roman" w:hAnsi="Cambria"/>
        </w:rPr>
        <w:t xml:space="preserve">. </w:t>
      </w:r>
      <w:bookmarkEnd w:id="0"/>
    </w:p>
    <w:p w14:paraId="60073F68" w14:textId="0CBC1CE9" w:rsidR="0081380A" w:rsidRDefault="000C77C2" w:rsidP="00417C0A">
      <w:pPr>
        <w:spacing w:line="276" w:lineRule="auto"/>
        <w:rPr>
          <w:rFonts w:ascii="Cambria" w:eastAsia="Times New Roman" w:hAnsi="Cambria"/>
        </w:rPr>
      </w:pPr>
      <w:bookmarkStart w:id="1" w:name="_Hlk138831239"/>
      <w:r>
        <w:rPr>
          <w:rFonts w:ascii="Cambria" w:eastAsia="Times New Roman" w:hAnsi="Cambria"/>
        </w:rPr>
        <w:t xml:space="preserve">And </w:t>
      </w:r>
      <w:r w:rsidR="00CA2DB1">
        <w:rPr>
          <w:rFonts w:ascii="Cambria" w:eastAsia="Times New Roman" w:hAnsi="Cambria"/>
        </w:rPr>
        <w:t xml:space="preserve">in today’s landscape, making that </w:t>
      </w:r>
      <w:r w:rsidR="00510B6E">
        <w:rPr>
          <w:rFonts w:ascii="Cambria" w:eastAsia="Times New Roman" w:hAnsi="Cambria"/>
        </w:rPr>
        <w:t>choice</w:t>
      </w:r>
      <w:r w:rsidR="00CA2DB1">
        <w:rPr>
          <w:rFonts w:ascii="Cambria" w:eastAsia="Times New Roman" w:hAnsi="Cambria"/>
        </w:rPr>
        <w:t xml:space="preserve"> may be difficult but necessary. W</w:t>
      </w:r>
      <w:r>
        <w:rPr>
          <w:rFonts w:ascii="Cambria" w:eastAsia="Times New Roman" w:hAnsi="Cambria"/>
        </w:rPr>
        <w:t>hile it may seem counterintuitive to place a greater emphasis on innovation when the threat of revenue decline</w:t>
      </w:r>
      <w:r w:rsidR="00B806F7">
        <w:rPr>
          <w:rFonts w:ascii="Cambria" w:eastAsia="Times New Roman" w:hAnsi="Cambria"/>
        </w:rPr>
        <w:t>s</w:t>
      </w:r>
      <w:r>
        <w:rPr>
          <w:rFonts w:ascii="Cambria" w:eastAsia="Times New Roman" w:hAnsi="Cambria"/>
        </w:rPr>
        <w:t xml:space="preserve"> lingers, </w:t>
      </w:r>
      <w:r w:rsidR="000630C1">
        <w:rPr>
          <w:rFonts w:ascii="Cambria" w:eastAsia="Times New Roman" w:hAnsi="Cambria"/>
        </w:rPr>
        <w:t>choosing to innovate</w:t>
      </w:r>
      <w:r w:rsidR="00B806F7">
        <w:rPr>
          <w:rFonts w:ascii="Cambria" w:eastAsia="Times New Roman" w:hAnsi="Cambria"/>
        </w:rPr>
        <w:t xml:space="preserve"> is a strategic investment in the future. </w:t>
      </w:r>
      <w:r w:rsidR="00CA2DB1">
        <w:rPr>
          <w:rFonts w:ascii="Cambria" w:eastAsia="Times New Roman" w:hAnsi="Cambria"/>
        </w:rPr>
        <w:t>The lost opportunity cost</w:t>
      </w:r>
      <w:r w:rsidR="000630C1">
        <w:rPr>
          <w:rFonts w:ascii="Cambria" w:eastAsia="Times New Roman" w:hAnsi="Cambria"/>
        </w:rPr>
        <w:t xml:space="preserve"> of doing nothing</w:t>
      </w:r>
      <w:r w:rsidR="00CA2DB1">
        <w:rPr>
          <w:rFonts w:ascii="Cambria" w:eastAsia="Times New Roman" w:hAnsi="Cambria"/>
        </w:rPr>
        <w:t xml:space="preserve"> can far outweigh</w:t>
      </w:r>
      <w:r w:rsidR="0081380A">
        <w:rPr>
          <w:rFonts w:ascii="Cambria" w:eastAsia="Times New Roman" w:hAnsi="Cambria"/>
        </w:rPr>
        <w:t xml:space="preserve"> today’s </w:t>
      </w:r>
      <w:r w:rsidR="00856576">
        <w:rPr>
          <w:rFonts w:ascii="Cambria" w:eastAsia="Times New Roman" w:hAnsi="Cambria"/>
        </w:rPr>
        <w:t>finances</w:t>
      </w:r>
      <w:r w:rsidR="0081380A">
        <w:rPr>
          <w:rFonts w:ascii="Cambria" w:eastAsia="Times New Roman" w:hAnsi="Cambria"/>
        </w:rPr>
        <w:t xml:space="preserve">. </w:t>
      </w:r>
      <w:bookmarkEnd w:id="1"/>
    </w:p>
    <w:p w14:paraId="4BCDC5CE" w14:textId="08360E6C" w:rsidR="00043BD3" w:rsidRDefault="0081380A" w:rsidP="00417C0A">
      <w:pPr>
        <w:spacing w:line="276" w:lineRule="auto"/>
        <w:rPr>
          <w:rFonts w:ascii="Cambria" w:eastAsia="Times New Roman" w:hAnsi="Cambria"/>
        </w:rPr>
      </w:pPr>
      <w:bookmarkStart w:id="2" w:name="_Hlk138831337"/>
      <w:r>
        <w:rPr>
          <w:rFonts w:ascii="Cambria" w:eastAsia="Times New Roman" w:hAnsi="Cambria"/>
        </w:rPr>
        <w:t>C</w:t>
      </w:r>
      <w:r w:rsidR="004E5412">
        <w:rPr>
          <w:rFonts w:ascii="Cambria" w:eastAsia="Times New Roman" w:hAnsi="Cambria"/>
        </w:rPr>
        <w:t>hief financial off</w:t>
      </w:r>
      <w:r w:rsidR="00A7523C">
        <w:rPr>
          <w:rFonts w:ascii="Cambria" w:eastAsia="Times New Roman" w:hAnsi="Cambria"/>
        </w:rPr>
        <w:t>ice</w:t>
      </w:r>
      <w:r w:rsidR="004E5412">
        <w:rPr>
          <w:rFonts w:ascii="Cambria" w:eastAsia="Times New Roman" w:hAnsi="Cambria"/>
        </w:rPr>
        <w:t xml:space="preserve">rs worldwide </w:t>
      </w:r>
      <w:r>
        <w:rPr>
          <w:rFonts w:ascii="Cambria" w:eastAsia="Times New Roman" w:hAnsi="Cambria"/>
        </w:rPr>
        <w:t>agree</w:t>
      </w:r>
      <w:r w:rsidR="0022603A">
        <w:rPr>
          <w:rFonts w:ascii="Cambria" w:eastAsia="Times New Roman" w:hAnsi="Cambria"/>
        </w:rPr>
        <w:t>. In fact, a</w:t>
      </w:r>
      <w:r w:rsidR="007D77CD">
        <w:rPr>
          <w:rFonts w:ascii="Cambria" w:eastAsia="Times New Roman" w:hAnsi="Cambria"/>
        </w:rPr>
        <w:t xml:space="preserve"> </w:t>
      </w:r>
      <w:hyperlink r:id="rId8" w:history="1">
        <w:r w:rsidR="007D77CD" w:rsidRPr="00636E0B">
          <w:rPr>
            <w:rStyle w:val="Hyperlink"/>
            <w:rFonts w:ascii="Cambria" w:eastAsia="Times New Roman" w:hAnsi="Cambria"/>
          </w:rPr>
          <w:t>March survey from EY</w:t>
        </w:r>
      </w:hyperlink>
      <w:r w:rsidR="007D77CD">
        <w:rPr>
          <w:rFonts w:ascii="Cambria" w:eastAsia="Times New Roman" w:hAnsi="Cambria"/>
        </w:rPr>
        <w:t xml:space="preserve"> </w:t>
      </w:r>
      <w:r w:rsidR="004B026F">
        <w:rPr>
          <w:rFonts w:ascii="Cambria" w:eastAsia="Times New Roman" w:hAnsi="Cambria"/>
        </w:rPr>
        <w:t>pointed to</w:t>
      </w:r>
      <w:r w:rsidR="007D77CD">
        <w:rPr>
          <w:rFonts w:ascii="Cambria" w:eastAsia="Times New Roman" w:hAnsi="Cambria"/>
        </w:rPr>
        <w:t xml:space="preserve"> </w:t>
      </w:r>
      <w:r w:rsidR="00720439">
        <w:rPr>
          <w:rFonts w:ascii="Cambria" w:eastAsia="Times New Roman" w:hAnsi="Cambria"/>
        </w:rPr>
        <w:t xml:space="preserve">digital </w:t>
      </w:r>
      <w:r w:rsidR="00AE2D40">
        <w:rPr>
          <w:rFonts w:ascii="Cambria" w:eastAsia="Times New Roman" w:hAnsi="Cambria"/>
        </w:rPr>
        <w:t xml:space="preserve"> technologies </w:t>
      </w:r>
      <w:r w:rsidR="0022603A">
        <w:rPr>
          <w:rFonts w:ascii="Cambria" w:eastAsia="Times New Roman" w:hAnsi="Cambria"/>
        </w:rPr>
        <w:t>a</w:t>
      </w:r>
      <w:r w:rsidR="00636E0B">
        <w:rPr>
          <w:rFonts w:ascii="Cambria" w:eastAsia="Times New Roman" w:hAnsi="Cambria"/>
        </w:rPr>
        <w:t>s</w:t>
      </w:r>
      <w:r w:rsidR="00720439">
        <w:rPr>
          <w:rFonts w:ascii="Cambria" w:eastAsia="Times New Roman" w:hAnsi="Cambria"/>
        </w:rPr>
        <w:t xml:space="preserve"> the most critical area of investment and </w:t>
      </w:r>
      <w:r w:rsidR="0022603A">
        <w:rPr>
          <w:rFonts w:ascii="Cambria" w:eastAsia="Times New Roman" w:hAnsi="Cambria"/>
        </w:rPr>
        <w:t xml:space="preserve">the </w:t>
      </w:r>
      <w:r w:rsidR="00720439">
        <w:rPr>
          <w:rFonts w:ascii="Cambria" w:eastAsia="Times New Roman" w:hAnsi="Cambria"/>
        </w:rPr>
        <w:t xml:space="preserve">least likely </w:t>
      </w:r>
      <w:r w:rsidR="0022603A">
        <w:rPr>
          <w:rFonts w:ascii="Cambria" w:eastAsia="Times New Roman" w:hAnsi="Cambria"/>
        </w:rPr>
        <w:t>place for cuts,</w:t>
      </w:r>
      <w:r w:rsidR="00720439">
        <w:rPr>
          <w:rFonts w:ascii="Cambria" w:eastAsia="Times New Roman" w:hAnsi="Cambria"/>
        </w:rPr>
        <w:t xml:space="preserve"> surpassing </w:t>
      </w:r>
      <w:r w:rsidR="00940067">
        <w:rPr>
          <w:rFonts w:ascii="Cambria" w:eastAsia="Times New Roman" w:hAnsi="Cambria"/>
        </w:rPr>
        <w:t>R&amp;D</w:t>
      </w:r>
      <w:r w:rsidR="00636E0B">
        <w:rPr>
          <w:rFonts w:ascii="Cambria" w:eastAsia="Times New Roman" w:hAnsi="Cambria"/>
        </w:rPr>
        <w:t>/</w:t>
      </w:r>
      <w:r w:rsidR="00940067">
        <w:rPr>
          <w:rFonts w:ascii="Cambria" w:eastAsia="Times New Roman" w:hAnsi="Cambria"/>
        </w:rPr>
        <w:t xml:space="preserve">product development as the most important strategic </w:t>
      </w:r>
      <w:r w:rsidR="00636E0B">
        <w:rPr>
          <w:rFonts w:ascii="Cambria" w:eastAsia="Times New Roman" w:hAnsi="Cambria"/>
        </w:rPr>
        <w:t xml:space="preserve">emphasis. </w:t>
      </w:r>
      <w:r w:rsidR="00804B26">
        <w:rPr>
          <w:rFonts w:ascii="Cambria" w:eastAsia="Times New Roman" w:hAnsi="Cambria"/>
        </w:rPr>
        <w:t xml:space="preserve">That’s because </w:t>
      </w:r>
      <w:r w:rsidR="0029624E" w:rsidRPr="00B006D4">
        <w:rPr>
          <w:rFonts w:ascii="Cambria" w:eastAsia="Times New Roman" w:hAnsi="Cambria"/>
        </w:rPr>
        <w:t>digital</w:t>
      </w:r>
      <w:r w:rsidR="006C23A4" w:rsidRPr="00B006D4">
        <w:rPr>
          <w:rFonts w:ascii="Cambria" w:eastAsia="Times New Roman" w:hAnsi="Cambria"/>
        </w:rPr>
        <w:t xml:space="preserve"> drives </w:t>
      </w:r>
      <w:r w:rsidR="004E5412">
        <w:rPr>
          <w:rFonts w:ascii="Cambria" w:eastAsia="Times New Roman" w:hAnsi="Cambria"/>
        </w:rPr>
        <w:t xml:space="preserve">much of today’s innovation focus and </w:t>
      </w:r>
      <w:r w:rsidR="006C23A4" w:rsidRPr="00B006D4">
        <w:rPr>
          <w:rFonts w:ascii="Cambria" w:eastAsia="Times New Roman" w:hAnsi="Cambria"/>
        </w:rPr>
        <w:t>customer ex</w:t>
      </w:r>
      <w:r w:rsidR="004E5412">
        <w:rPr>
          <w:rFonts w:ascii="Cambria" w:eastAsia="Times New Roman" w:hAnsi="Cambria"/>
        </w:rPr>
        <w:t>perience ex</w:t>
      </w:r>
      <w:r w:rsidR="006C23A4" w:rsidRPr="00B006D4">
        <w:rPr>
          <w:rFonts w:ascii="Cambria" w:eastAsia="Times New Roman" w:hAnsi="Cambria"/>
        </w:rPr>
        <w:t xml:space="preserve">pectations. </w:t>
      </w:r>
      <w:r w:rsidR="009337BB" w:rsidRPr="00B006D4">
        <w:rPr>
          <w:rFonts w:ascii="Cambria" w:eastAsia="Times New Roman" w:hAnsi="Cambria"/>
        </w:rPr>
        <w:t xml:space="preserve">In an app-based, instant gratification society, having the right digital interface can make </w:t>
      </w:r>
      <w:proofErr w:type="gramStart"/>
      <w:r w:rsidR="009337BB" w:rsidRPr="00B006D4">
        <w:rPr>
          <w:rFonts w:ascii="Cambria" w:eastAsia="Times New Roman" w:hAnsi="Cambria"/>
        </w:rPr>
        <w:t>all of</w:t>
      </w:r>
      <w:proofErr w:type="gramEnd"/>
      <w:r w:rsidR="009337BB" w:rsidRPr="00B006D4">
        <w:rPr>
          <w:rFonts w:ascii="Cambria" w:eastAsia="Times New Roman" w:hAnsi="Cambria"/>
        </w:rPr>
        <w:t xml:space="preserve"> the difference </w:t>
      </w:r>
      <w:r w:rsidR="004E5412">
        <w:rPr>
          <w:rFonts w:ascii="Cambria" w:eastAsia="Times New Roman" w:hAnsi="Cambria"/>
        </w:rPr>
        <w:t>in staying connected—even virtually</w:t>
      </w:r>
      <w:r w:rsidR="00A01A2F">
        <w:rPr>
          <w:rFonts w:ascii="Cambria" w:eastAsia="Times New Roman" w:hAnsi="Cambria"/>
        </w:rPr>
        <w:t>—</w:t>
      </w:r>
      <w:r w:rsidR="004E5412">
        <w:rPr>
          <w:rFonts w:ascii="Cambria" w:eastAsia="Times New Roman" w:hAnsi="Cambria"/>
        </w:rPr>
        <w:t>with</w:t>
      </w:r>
      <w:r w:rsidR="004E5412" w:rsidRPr="00B006D4">
        <w:rPr>
          <w:rFonts w:ascii="Cambria" w:eastAsia="Times New Roman" w:hAnsi="Cambria"/>
        </w:rPr>
        <w:t xml:space="preserve"> </w:t>
      </w:r>
      <w:r w:rsidR="009337BB" w:rsidRPr="00B006D4">
        <w:rPr>
          <w:rFonts w:ascii="Cambria" w:eastAsia="Times New Roman" w:hAnsi="Cambria"/>
        </w:rPr>
        <w:t>your customers.</w:t>
      </w:r>
      <w:r w:rsidR="0029624E" w:rsidRPr="00B006D4">
        <w:rPr>
          <w:rFonts w:ascii="Cambria" w:eastAsia="Times New Roman" w:hAnsi="Cambria"/>
        </w:rPr>
        <w:t xml:space="preserve"> </w:t>
      </w:r>
      <w:bookmarkEnd w:id="2"/>
    </w:p>
    <w:p w14:paraId="760B54D1" w14:textId="70802271" w:rsidR="001668FC" w:rsidRDefault="009337BB" w:rsidP="00417C0A">
      <w:pPr>
        <w:pStyle w:val="ListParagraph"/>
        <w:spacing w:after="160" w:line="276" w:lineRule="auto"/>
        <w:ind w:left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Fortunately,</w:t>
      </w:r>
      <w:r w:rsidR="00B006D4">
        <w:rPr>
          <w:rFonts w:ascii="Cambria" w:eastAsia="Times New Roman" w:hAnsi="Cambria"/>
        </w:rPr>
        <w:t xml:space="preserve"> digital</w:t>
      </w:r>
      <w:r>
        <w:rPr>
          <w:rFonts w:ascii="Cambria" w:eastAsia="Times New Roman" w:hAnsi="Cambria"/>
        </w:rPr>
        <w:t xml:space="preserve"> </w:t>
      </w:r>
      <w:r w:rsidR="0029624E">
        <w:rPr>
          <w:rFonts w:ascii="Cambria" w:eastAsia="Times New Roman" w:hAnsi="Cambria"/>
        </w:rPr>
        <w:t>transformation</w:t>
      </w:r>
      <w:r w:rsidR="006340D8">
        <w:rPr>
          <w:rFonts w:ascii="Cambria" w:eastAsia="Times New Roman" w:hAnsi="Cambria"/>
        </w:rPr>
        <w:t>, like so many other areas of focused innovation,</w:t>
      </w:r>
      <w:r w:rsidR="0029624E">
        <w:rPr>
          <w:rFonts w:ascii="Cambria" w:eastAsia="Times New Roman" w:hAnsi="Cambria"/>
        </w:rPr>
        <w:t xml:space="preserve"> can start with a light-</w:t>
      </w:r>
      <w:r w:rsidR="006C23A4">
        <w:rPr>
          <w:rFonts w:ascii="Cambria" w:eastAsia="Times New Roman" w:hAnsi="Cambria"/>
        </w:rPr>
        <w:t>touch, low-lift</w:t>
      </w:r>
      <w:r w:rsidR="00112FB7">
        <w:rPr>
          <w:rFonts w:ascii="Cambria" w:eastAsia="Times New Roman" w:hAnsi="Cambria"/>
        </w:rPr>
        <w:t xml:space="preserve"> </w:t>
      </w:r>
      <w:r w:rsidR="006C23A4">
        <w:rPr>
          <w:rFonts w:ascii="Cambria" w:eastAsia="Times New Roman" w:hAnsi="Cambria"/>
        </w:rPr>
        <w:t xml:space="preserve">solution that doesn’t take a lot of effort or expense </w:t>
      </w:r>
      <w:r w:rsidR="005B4FDD">
        <w:rPr>
          <w:rFonts w:ascii="Cambria" w:eastAsia="Times New Roman" w:hAnsi="Cambria"/>
        </w:rPr>
        <w:t xml:space="preserve">to </w:t>
      </w:r>
      <w:r w:rsidR="00CE6D02">
        <w:rPr>
          <w:rFonts w:ascii="Cambria" w:eastAsia="Times New Roman" w:hAnsi="Cambria"/>
        </w:rPr>
        <w:t>achieve</w:t>
      </w:r>
      <w:r w:rsidR="00C17840">
        <w:rPr>
          <w:rFonts w:ascii="Cambria" w:eastAsia="Times New Roman" w:hAnsi="Cambria"/>
        </w:rPr>
        <w:t xml:space="preserve"> appreciable results</w:t>
      </w:r>
      <w:r w:rsidR="005B4FDD">
        <w:rPr>
          <w:rFonts w:ascii="Cambria" w:eastAsia="Times New Roman" w:hAnsi="Cambria"/>
        </w:rPr>
        <w:t xml:space="preserve">. </w:t>
      </w:r>
      <w:r w:rsidR="00112FB7">
        <w:rPr>
          <w:rFonts w:ascii="Cambria" w:eastAsia="Times New Roman" w:hAnsi="Cambria"/>
        </w:rPr>
        <w:t xml:space="preserve">Consider </w:t>
      </w:r>
      <w:r w:rsidR="00A62151">
        <w:rPr>
          <w:rFonts w:ascii="Cambria" w:eastAsia="Times New Roman" w:hAnsi="Cambria"/>
        </w:rPr>
        <w:t xml:space="preserve">ICBA </w:t>
      </w:r>
      <w:proofErr w:type="spellStart"/>
      <w:r w:rsidR="00A62151">
        <w:rPr>
          <w:rFonts w:ascii="Cambria" w:eastAsia="Times New Roman" w:hAnsi="Cambria"/>
        </w:rPr>
        <w:t>ThinkTECH</w:t>
      </w:r>
      <w:proofErr w:type="spellEnd"/>
      <w:r w:rsidR="00A62151">
        <w:rPr>
          <w:rFonts w:ascii="Cambria" w:eastAsia="Times New Roman" w:hAnsi="Cambria"/>
        </w:rPr>
        <w:t xml:space="preserve"> </w:t>
      </w:r>
      <w:r w:rsidR="00112FB7">
        <w:rPr>
          <w:rFonts w:ascii="Cambria" w:eastAsia="Times New Roman" w:hAnsi="Cambria"/>
        </w:rPr>
        <w:t xml:space="preserve">Accelerator companies </w:t>
      </w:r>
      <w:bookmarkStart w:id="3" w:name="_Hlk138831776"/>
      <w:r w:rsidR="00112FB7">
        <w:rPr>
          <w:rFonts w:ascii="Cambria" w:eastAsia="Times New Roman" w:hAnsi="Cambria"/>
        </w:rPr>
        <w:t xml:space="preserve">like </w:t>
      </w:r>
      <w:r w:rsidR="0041754A" w:rsidRPr="00417C0A">
        <w:t>Beauceron Security</w:t>
      </w:r>
      <w:r w:rsidR="00112FB7">
        <w:rPr>
          <w:rFonts w:ascii="Cambria" w:eastAsia="Times New Roman" w:hAnsi="Cambria"/>
        </w:rPr>
        <w:t xml:space="preserve"> </w:t>
      </w:r>
      <w:r w:rsidR="005832C8">
        <w:rPr>
          <w:rFonts w:ascii="Cambria" w:eastAsia="Times New Roman" w:hAnsi="Cambria"/>
        </w:rPr>
        <w:t>which</w:t>
      </w:r>
      <w:r w:rsidR="004C1790">
        <w:rPr>
          <w:rFonts w:ascii="Cambria" w:eastAsia="Times New Roman" w:hAnsi="Cambria"/>
        </w:rPr>
        <w:t xml:space="preserve"> </w:t>
      </w:r>
      <w:r w:rsidR="00C66ED2">
        <w:rPr>
          <w:rFonts w:ascii="Cambria" w:eastAsia="Times New Roman" w:hAnsi="Cambria"/>
        </w:rPr>
        <w:t>helps employees better recognize fraudulent</w:t>
      </w:r>
      <w:r w:rsidR="00B76E01">
        <w:rPr>
          <w:rFonts w:ascii="Cambria" w:eastAsia="Times New Roman" w:hAnsi="Cambria"/>
        </w:rPr>
        <w:t xml:space="preserve"> communications</w:t>
      </w:r>
      <w:r w:rsidR="005832C8">
        <w:rPr>
          <w:rFonts w:ascii="Cambria" w:eastAsia="Times New Roman" w:hAnsi="Cambria"/>
        </w:rPr>
        <w:t>,</w:t>
      </w:r>
      <w:r w:rsidR="00B76E01">
        <w:rPr>
          <w:rFonts w:ascii="Cambria" w:eastAsia="Times New Roman" w:hAnsi="Cambria"/>
        </w:rPr>
        <w:t xml:space="preserve"> </w:t>
      </w:r>
      <w:r w:rsidR="006D7556">
        <w:rPr>
          <w:rFonts w:ascii="Cambria" w:eastAsia="Times New Roman" w:hAnsi="Cambria"/>
        </w:rPr>
        <w:t>or</w:t>
      </w:r>
      <w:r w:rsidR="00C17840">
        <w:rPr>
          <w:rFonts w:ascii="Cambria" w:eastAsia="Times New Roman" w:hAnsi="Cambria"/>
        </w:rPr>
        <w:t xml:space="preserve"> </w:t>
      </w:r>
      <w:proofErr w:type="spellStart"/>
      <w:r w:rsidR="0041754A" w:rsidRPr="00417C0A">
        <w:t>Finosec</w:t>
      </w:r>
      <w:proofErr w:type="spellEnd"/>
      <w:r w:rsidR="00C17840">
        <w:rPr>
          <w:rFonts w:ascii="Cambria" w:eastAsia="Times New Roman" w:hAnsi="Cambria"/>
        </w:rPr>
        <w:t xml:space="preserve"> </w:t>
      </w:r>
      <w:r w:rsidR="005832C8">
        <w:rPr>
          <w:rFonts w:ascii="Cambria" w:eastAsia="Times New Roman" w:hAnsi="Cambria"/>
        </w:rPr>
        <w:t>which</w:t>
      </w:r>
      <w:r w:rsidR="004C1790">
        <w:rPr>
          <w:rFonts w:ascii="Cambria" w:eastAsia="Times New Roman" w:hAnsi="Cambria"/>
        </w:rPr>
        <w:t xml:space="preserve"> supports</w:t>
      </w:r>
      <w:r w:rsidR="006D7556">
        <w:rPr>
          <w:rFonts w:ascii="Cambria" w:eastAsia="Times New Roman" w:hAnsi="Cambria"/>
        </w:rPr>
        <w:t xml:space="preserve"> a broader cybersecurity approach. </w:t>
      </w:r>
      <w:r w:rsidR="00C0001E">
        <w:rPr>
          <w:rFonts w:ascii="Cambria" w:eastAsia="Times New Roman" w:hAnsi="Cambria"/>
        </w:rPr>
        <w:t>These simple-to-implement</w:t>
      </w:r>
      <w:r w:rsidR="001668FC">
        <w:rPr>
          <w:rFonts w:ascii="Cambria" w:eastAsia="Times New Roman" w:hAnsi="Cambria"/>
        </w:rPr>
        <w:t xml:space="preserve"> solutions have immediate impacts on the bottom line by creating a stronger risk mitigation program.</w:t>
      </w:r>
      <w:bookmarkEnd w:id="3"/>
    </w:p>
    <w:p w14:paraId="10F1EB10" w14:textId="4B2F9111" w:rsidR="007E5877" w:rsidRPr="00D575A5" w:rsidRDefault="006B2D2C" w:rsidP="00417C0A">
      <w:pPr>
        <w:pStyle w:val="ListParagraph"/>
        <w:spacing w:after="160" w:line="276" w:lineRule="auto"/>
        <w:ind w:left="0"/>
        <w:rPr>
          <w:rFonts w:ascii="Cambria" w:eastAsia="Times New Roman" w:hAnsi="Cambria"/>
        </w:rPr>
      </w:pPr>
      <w:bookmarkStart w:id="4" w:name="_Hlk138831851"/>
      <w:r>
        <w:rPr>
          <w:rFonts w:ascii="Cambria" w:eastAsia="Times New Roman" w:hAnsi="Cambria"/>
        </w:rPr>
        <w:t xml:space="preserve">Which is precisely why </w:t>
      </w:r>
      <w:r w:rsidR="00BC5E36">
        <w:rPr>
          <w:rFonts w:ascii="Cambria" w:eastAsia="Times New Roman" w:hAnsi="Cambria"/>
        </w:rPr>
        <w:t xml:space="preserve">ICBA has </w:t>
      </w:r>
      <w:r w:rsidR="001668FC">
        <w:rPr>
          <w:rFonts w:ascii="Cambria" w:eastAsia="Times New Roman" w:hAnsi="Cambria"/>
        </w:rPr>
        <w:t xml:space="preserve">focused on bringing </w:t>
      </w:r>
      <w:r w:rsidR="0010759E">
        <w:rPr>
          <w:rFonts w:ascii="Cambria" w:eastAsia="Times New Roman" w:hAnsi="Cambria"/>
        </w:rPr>
        <w:t>these low</w:t>
      </w:r>
      <w:r w:rsidR="006E7158">
        <w:rPr>
          <w:rFonts w:ascii="Cambria" w:eastAsia="Times New Roman" w:hAnsi="Cambria"/>
        </w:rPr>
        <w:t>-barrier-to-implementation partners to the surface through the</w:t>
      </w:r>
      <w:r>
        <w:rPr>
          <w:rFonts w:ascii="Cambria" w:eastAsia="Times New Roman" w:hAnsi="Cambria"/>
        </w:rPr>
        <w:t xml:space="preserve"> </w:t>
      </w:r>
      <w:r w:rsidR="006E7158">
        <w:rPr>
          <w:rFonts w:ascii="Cambria" w:eastAsia="Times New Roman" w:hAnsi="Cambria"/>
        </w:rPr>
        <w:t>Accelerator</w:t>
      </w:r>
      <w:bookmarkStart w:id="5" w:name="_Hlk138832007"/>
      <w:r w:rsidR="001668FC">
        <w:rPr>
          <w:rFonts w:ascii="Cambria" w:eastAsia="Times New Roman" w:hAnsi="Cambria"/>
        </w:rPr>
        <w:t xml:space="preserve">. </w:t>
      </w:r>
      <w:r w:rsidR="009404AF">
        <w:rPr>
          <w:rFonts w:ascii="Cambria" w:eastAsia="Times New Roman" w:hAnsi="Cambria"/>
        </w:rPr>
        <w:t xml:space="preserve">Many </w:t>
      </w:r>
      <w:r w:rsidR="006E7158">
        <w:rPr>
          <w:rFonts w:ascii="Cambria" w:eastAsia="Times New Roman" w:hAnsi="Cambria"/>
        </w:rPr>
        <w:t>Accelerator companies</w:t>
      </w:r>
      <w:r w:rsidR="009404AF">
        <w:rPr>
          <w:rFonts w:ascii="Cambria" w:eastAsia="Times New Roman" w:hAnsi="Cambria"/>
        </w:rPr>
        <w:t xml:space="preserve"> can be up and running in a matter of weeks, </w:t>
      </w:r>
      <w:r w:rsidR="0069284E">
        <w:rPr>
          <w:rFonts w:ascii="Cambria" w:eastAsia="Times New Roman" w:hAnsi="Cambria"/>
        </w:rPr>
        <w:t>help</w:t>
      </w:r>
      <w:r w:rsidR="009404AF">
        <w:rPr>
          <w:rFonts w:ascii="Cambria" w:eastAsia="Times New Roman" w:hAnsi="Cambria"/>
        </w:rPr>
        <w:t>ing</w:t>
      </w:r>
      <w:r w:rsidR="00D836FD">
        <w:rPr>
          <w:rFonts w:ascii="Cambria" w:eastAsia="Times New Roman" w:hAnsi="Cambria"/>
        </w:rPr>
        <w:t xml:space="preserve"> to</w:t>
      </w:r>
      <w:r w:rsidR="0069284E">
        <w:rPr>
          <w:rFonts w:ascii="Cambria" w:eastAsia="Times New Roman" w:hAnsi="Cambria"/>
        </w:rPr>
        <w:t xml:space="preserve"> streamline bank </w:t>
      </w:r>
      <w:proofErr w:type="gramStart"/>
      <w:r w:rsidR="0069284E">
        <w:rPr>
          <w:rFonts w:ascii="Cambria" w:eastAsia="Times New Roman" w:hAnsi="Cambria"/>
        </w:rPr>
        <w:t>operations</w:t>
      </w:r>
      <w:proofErr w:type="gramEnd"/>
      <w:r w:rsidR="0069284E">
        <w:rPr>
          <w:rFonts w:ascii="Cambria" w:eastAsia="Times New Roman" w:hAnsi="Cambria"/>
        </w:rPr>
        <w:t xml:space="preserve"> and cut expenses in the process</w:t>
      </w:r>
      <w:bookmarkEnd w:id="5"/>
      <w:r w:rsidR="0069284E">
        <w:rPr>
          <w:rFonts w:ascii="Cambria" w:eastAsia="Times New Roman" w:hAnsi="Cambria"/>
        </w:rPr>
        <w:t>.</w:t>
      </w:r>
      <w:r w:rsidR="0077591A">
        <w:rPr>
          <w:rFonts w:ascii="Cambria" w:eastAsia="Times New Roman" w:hAnsi="Cambria"/>
        </w:rPr>
        <w:t xml:space="preserve"> They offer opportunities to strengthen </w:t>
      </w:r>
      <w:r w:rsidR="00D76FBC">
        <w:rPr>
          <w:rFonts w:ascii="Cambria" w:eastAsia="Times New Roman" w:hAnsi="Cambria"/>
        </w:rPr>
        <w:t>innovation in a strategic, cost-effective manner.</w:t>
      </w:r>
      <w:r w:rsidR="0069284E">
        <w:rPr>
          <w:rFonts w:ascii="Cambria" w:eastAsia="Times New Roman" w:hAnsi="Cambria"/>
        </w:rPr>
        <w:t xml:space="preserve"> </w:t>
      </w:r>
      <w:r w:rsidR="000323F0">
        <w:rPr>
          <w:rFonts w:ascii="Cambria" w:eastAsia="Times New Roman" w:hAnsi="Cambria"/>
        </w:rPr>
        <w:t xml:space="preserve">More information and demos from these companies can be found on </w:t>
      </w:r>
      <w:r w:rsidR="0041754A">
        <w:rPr>
          <w:rFonts w:ascii="Cambria" w:eastAsia="Times New Roman" w:hAnsi="Cambria"/>
        </w:rPr>
        <w:t>&lt;</w:t>
      </w:r>
      <w:proofErr w:type="spellStart"/>
      <w:r w:rsidR="0041754A">
        <w:rPr>
          <w:rFonts w:ascii="Cambria" w:eastAsia="Times New Roman" w:hAnsi="Cambria"/>
        </w:rPr>
        <w:t>i</w:t>
      </w:r>
      <w:proofErr w:type="spellEnd"/>
      <w:r w:rsidR="0041754A">
        <w:rPr>
          <w:rFonts w:ascii="Cambria" w:eastAsia="Times New Roman" w:hAnsi="Cambria"/>
        </w:rPr>
        <w:t>&gt;</w:t>
      </w:r>
      <w:r w:rsidR="0041754A" w:rsidRPr="00417C0A">
        <w:rPr>
          <w:i/>
          <w:iCs/>
        </w:rPr>
        <w:t>ICBA.org</w:t>
      </w:r>
      <w:r w:rsidR="0041754A">
        <w:rPr>
          <w:rStyle w:val="Hyperlink"/>
          <w:rFonts w:ascii="Cambria" w:eastAsia="Times New Roman" w:hAnsi="Cambria"/>
        </w:rPr>
        <w:t>&lt;</w:t>
      </w:r>
      <w:proofErr w:type="spellStart"/>
      <w:r w:rsidR="0041754A">
        <w:rPr>
          <w:rStyle w:val="Hyperlink"/>
          <w:rFonts w:ascii="Cambria" w:eastAsia="Times New Roman" w:hAnsi="Cambria"/>
        </w:rPr>
        <w:t>i</w:t>
      </w:r>
      <w:proofErr w:type="spellEnd"/>
      <w:r w:rsidR="0041754A">
        <w:rPr>
          <w:rStyle w:val="Hyperlink"/>
          <w:rFonts w:ascii="Cambria" w:eastAsia="Times New Roman" w:hAnsi="Cambria"/>
        </w:rPr>
        <w:t>&gt;</w:t>
      </w:r>
      <w:r w:rsidR="000323F0">
        <w:rPr>
          <w:rFonts w:ascii="Cambria" w:eastAsia="Times New Roman" w:hAnsi="Cambria"/>
        </w:rPr>
        <w:t>.</w:t>
      </w:r>
      <w:bookmarkEnd w:id="4"/>
    </w:p>
    <w:p w14:paraId="25FB3DC8" w14:textId="65115C98" w:rsidR="00D57FEF" w:rsidRPr="00D575A5" w:rsidRDefault="006666B0" w:rsidP="00417C0A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 xml:space="preserve">There’s no doubt that we’re in a tricky economic environment, but </w:t>
      </w:r>
      <w:r w:rsidR="00265F09">
        <w:rPr>
          <w:rFonts w:ascii="Cambria" w:eastAsia="Times New Roman" w:hAnsi="Cambria"/>
        </w:rPr>
        <w:t xml:space="preserve">by focusing further </w:t>
      </w:r>
      <w:r w:rsidR="00D76FBC">
        <w:rPr>
          <w:rFonts w:ascii="Cambria" w:eastAsia="Times New Roman" w:hAnsi="Cambria"/>
        </w:rPr>
        <w:t>down the line</w:t>
      </w:r>
      <w:r w:rsidR="00265F09">
        <w:rPr>
          <w:rFonts w:ascii="Cambria" w:eastAsia="Times New Roman" w:hAnsi="Cambria"/>
        </w:rPr>
        <w:t>, we can</w:t>
      </w:r>
      <w:r w:rsidR="00D836FD">
        <w:rPr>
          <w:rFonts w:ascii="Cambria" w:eastAsia="Times New Roman" w:hAnsi="Cambria"/>
        </w:rPr>
        <w:t xml:space="preserve"> </w:t>
      </w:r>
      <w:r w:rsidR="00265F09">
        <w:rPr>
          <w:rFonts w:ascii="Cambria" w:eastAsia="Times New Roman" w:hAnsi="Cambria"/>
        </w:rPr>
        <w:t xml:space="preserve">get ahead of industry evolution and prepare for what’s next. </w:t>
      </w:r>
      <w:r w:rsidR="00723FDE">
        <w:rPr>
          <w:rFonts w:ascii="Cambria" w:eastAsia="Times New Roman" w:hAnsi="Cambria"/>
        </w:rPr>
        <w:t xml:space="preserve">Just as ICBA is investing in the </w:t>
      </w:r>
      <w:proofErr w:type="spellStart"/>
      <w:r w:rsidR="00723FDE">
        <w:rPr>
          <w:rFonts w:ascii="Cambria" w:eastAsia="Times New Roman" w:hAnsi="Cambria"/>
        </w:rPr>
        <w:t>ThinkTECH</w:t>
      </w:r>
      <w:proofErr w:type="spellEnd"/>
      <w:r w:rsidR="00723FDE">
        <w:rPr>
          <w:rFonts w:ascii="Cambria" w:eastAsia="Times New Roman" w:hAnsi="Cambria"/>
        </w:rPr>
        <w:t xml:space="preserve"> A</w:t>
      </w:r>
      <w:r w:rsidR="005C4103" w:rsidRPr="005C4103">
        <w:rPr>
          <w:rFonts w:ascii="Cambria" w:eastAsia="Times New Roman" w:hAnsi="Cambria"/>
        </w:rPr>
        <w:t>ccelerator</w:t>
      </w:r>
      <w:r w:rsidR="00723FDE">
        <w:rPr>
          <w:rFonts w:ascii="Cambria" w:eastAsia="Times New Roman" w:hAnsi="Cambria"/>
        </w:rPr>
        <w:t xml:space="preserve">, bankers need to </w:t>
      </w:r>
      <w:r w:rsidR="00DC019B">
        <w:rPr>
          <w:rFonts w:ascii="Cambria" w:eastAsia="Times New Roman" w:hAnsi="Cambria"/>
        </w:rPr>
        <w:t>place</w:t>
      </w:r>
      <w:r w:rsidR="006C4FEE">
        <w:rPr>
          <w:rFonts w:ascii="Cambria" w:eastAsia="Times New Roman" w:hAnsi="Cambria"/>
        </w:rPr>
        <w:t xml:space="preserve"> resources into those solutions that will support </w:t>
      </w:r>
      <w:r w:rsidR="0073502F">
        <w:rPr>
          <w:rFonts w:ascii="Cambria" w:eastAsia="Times New Roman" w:hAnsi="Cambria"/>
        </w:rPr>
        <w:t xml:space="preserve">them </w:t>
      </w:r>
      <w:r w:rsidR="00607ACF">
        <w:rPr>
          <w:rFonts w:ascii="Cambria" w:eastAsia="Times New Roman" w:hAnsi="Cambria"/>
        </w:rPr>
        <w:t xml:space="preserve">when the economic conditions swing </w:t>
      </w:r>
      <w:r w:rsidR="00F47AFD">
        <w:rPr>
          <w:rFonts w:ascii="Cambria" w:eastAsia="Times New Roman" w:hAnsi="Cambria"/>
        </w:rPr>
        <w:t>back around</w:t>
      </w:r>
      <w:r w:rsidR="006C4FEE">
        <w:rPr>
          <w:rFonts w:ascii="Cambria" w:eastAsia="Times New Roman" w:hAnsi="Cambria"/>
        </w:rPr>
        <w:t xml:space="preserve">. </w:t>
      </w:r>
      <w:bookmarkStart w:id="6" w:name="_Hlk138832151"/>
      <w:r w:rsidR="006C4FEE">
        <w:rPr>
          <w:rFonts w:ascii="Cambria" w:eastAsia="Times New Roman" w:hAnsi="Cambria"/>
        </w:rPr>
        <w:t>This future</w:t>
      </w:r>
      <w:r w:rsidR="003E249B">
        <w:rPr>
          <w:rFonts w:ascii="Cambria" w:eastAsia="Times New Roman" w:hAnsi="Cambria"/>
        </w:rPr>
        <w:t xml:space="preserve"> </w:t>
      </w:r>
      <w:r w:rsidR="006C4FEE">
        <w:rPr>
          <w:rFonts w:ascii="Cambria" w:eastAsia="Times New Roman" w:hAnsi="Cambria"/>
        </w:rPr>
        <w:t xml:space="preserve">proofing will help to ensure that </w:t>
      </w:r>
      <w:r w:rsidR="00DA79E0">
        <w:rPr>
          <w:rFonts w:ascii="Cambria" w:eastAsia="Times New Roman" w:hAnsi="Cambria"/>
        </w:rPr>
        <w:t>you have put the right elements</w:t>
      </w:r>
      <w:r w:rsidR="00A443DB">
        <w:rPr>
          <w:rFonts w:ascii="Cambria" w:eastAsia="Times New Roman" w:hAnsi="Cambria"/>
        </w:rPr>
        <w:t xml:space="preserve"> in</w:t>
      </w:r>
      <w:r w:rsidR="0073502F">
        <w:rPr>
          <w:rFonts w:ascii="Cambria" w:eastAsia="Times New Roman" w:hAnsi="Cambria"/>
        </w:rPr>
        <w:t xml:space="preserve"> place, so that </w:t>
      </w:r>
      <w:r w:rsidR="00D617ED">
        <w:rPr>
          <w:rFonts w:ascii="Cambria" w:eastAsia="Times New Roman" w:hAnsi="Cambria"/>
        </w:rPr>
        <w:t xml:space="preserve">your strategic direction remains relevant </w:t>
      </w:r>
      <w:r w:rsidR="004F0D0E">
        <w:rPr>
          <w:rFonts w:ascii="Cambria" w:eastAsia="Times New Roman" w:hAnsi="Cambria"/>
        </w:rPr>
        <w:t xml:space="preserve">even as the market evolves. </w:t>
      </w:r>
      <w:bookmarkEnd w:id="6"/>
    </w:p>
    <w:p w14:paraId="6EF3459D" w14:textId="7BD1DB81" w:rsidR="008F5F74" w:rsidRPr="00741EDD" w:rsidRDefault="00784159" w:rsidP="00417C0A">
      <w:pPr>
        <w:spacing w:line="276" w:lineRule="auto"/>
        <w:rPr>
          <w:rFonts w:ascii="Cambria" w:eastAsia="Times New Roman" w:hAnsi="Cambria"/>
          <w:i/>
          <w:iCs/>
        </w:rPr>
      </w:pPr>
      <w:r>
        <w:rPr>
          <w:rFonts w:ascii="Cambria" w:hAnsi="Cambria"/>
        </w:rPr>
        <w:t xml:space="preserve"> </w:t>
      </w:r>
      <w:r w:rsidR="008F5F74" w:rsidRPr="00741EDD">
        <w:rPr>
          <w:rFonts w:ascii="Cambria" w:eastAsia="Times New Roman" w:hAnsi="Cambria"/>
          <w:i/>
          <w:iCs/>
        </w:rPr>
        <w:t xml:space="preserve">Charles E. Potts is ICBA’s </w:t>
      </w:r>
      <w:r w:rsidR="0006059C">
        <w:rPr>
          <w:rFonts w:ascii="Cambria" w:eastAsia="Times New Roman" w:hAnsi="Cambria"/>
          <w:i/>
          <w:iCs/>
        </w:rPr>
        <w:t xml:space="preserve">executive </w:t>
      </w:r>
      <w:r w:rsidR="008F5F74" w:rsidRPr="00741EDD">
        <w:rPr>
          <w:rFonts w:ascii="Cambria" w:eastAsia="Times New Roman" w:hAnsi="Cambria"/>
          <w:i/>
          <w:iCs/>
        </w:rPr>
        <w:t xml:space="preserve">vice president and chief innovation officer. </w:t>
      </w:r>
    </w:p>
    <w:p w14:paraId="455EE198" w14:textId="4F663DCB" w:rsidR="00784159" w:rsidRPr="00BC13DA" w:rsidRDefault="0041754A" w:rsidP="00417C0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[ends]</w:t>
      </w:r>
    </w:p>
    <w:sectPr w:rsidR="00784159" w:rsidRPr="00B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2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03"/>
    <w:rsid w:val="000323F0"/>
    <w:rsid w:val="00043BD3"/>
    <w:rsid w:val="00044ACC"/>
    <w:rsid w:val="0006059C"/>
    <w:rsid w:val="000630C1"/>
    <w:rsid w:val="0008243E"/>
    <w:rsid w:val="000A104B"/>
    <w:rsid w:val="000B38C9"/>
    <w:rsid w:val="000C77C2"/>
    <w:rsid w:val="0010759E"/>
    <w:rsid w:val="00112FB7"/>
    <w:rsid w:val="001668FC"/>
    <w:rsid w:val="001D7A69"/>
    <w:rsid w:val="00220B8F"/>
    <w:rsid w:val="0022348A"/>
    <w:rsid w:val="0022603A"/>
    <w:rsid w:val="00265F09"/>
    <w:rsid w:val="002811D3"/>
    <w:rsid w:val="0029624E"/>
    <w:rsid w:val="002E19DD"/>
    <w:rsid w:val="00326C01"/>
    <w:rsid w:val="003B5C2F"/>
    <w:rsid w:val="003C3401"/>
    <w:rsid w:val="003D21A1"/>
    <w:rsid w:val="003E249B"/>
    <w:rsid w:val="00406B64"/>
    <w:rsid w:val="0041754A"/>
    <w:rsid w:val="00417C0A"/>
    <w:rsid w:val="00420C19"/>
    <w:rsid w:val="00476BCA"/>
    <w:rsid w:val="004A3FF0"/>
    <w:rsid w:val="004B026F"/>
    <w:rsid w:val="004B35FA"/>
    <w:rsid w:val="004C1790"/>
    <w:rsid w:val="004C2664"/>
    <w:rsid w:val="004E5412"/>
    <w:rsid w:val="004E5FB3"/>
    <w:rsid w:val="004F0D0E"/>
    <w:rsid w:val="00510B6E"/>
    <w:rsid w:val="00576DCF"/>
    <w:rsid w:val="005832C8"/>
    <w:rsid w:val="0059635F"/>
    <w:rsid w:val="005A7B00"/>
    <w:rsid w:val="005B4FDD"/>
    <w:rsid w:val="005C1198"/>
    <w:rsid w:val="005C4103"/>
    <w:rsid w:val="005D5099"/>
    <w:rsid w:val="005E1CFF"/>
    <w:rsid w:val="00607ACF"/>
    <w:rsid w:val="006340D8"/>
    <w:rsid w:val="00636E0B"/>
    <w:rsid w:val="0064240C"/>
    <w:rsid w:val="00664726"/>
    <w:rsid w:val="006666B0"/>
    <w:rsid w:val="006871D3"/>
    <w:rsid w:val="0069284E"/>
    <w:rsid w:val="006B2D2C"/>
    <w:rsid w:val="006C23A4"/>
    <w:rsid w:val="006C4FEE"/>
    <w:rsid w:val="006D7556"/>
    <w:rsid w:val="006E7158"/>
    <w:rsid w:val="006F7F14"/>
    <w:rsid w:val="00712AA2"/>
    <w:rsid w:val="00720439"/>
    <w:rsid w:val="00723FDE"/>
    <w:rsid w:val="0073502F"/>
    <w:rsid w:val="00764EC3"/>
    <w:rsid w:val="0077591A"/>
    <w:rsid w:val="00784159"/>
    <w:rsid w:val="00791606"/>
    <w:rsid w:val="007D77CD"/>
    <w:rsid w:val="007E5877"/>
    <w:rsid w:val="00804B26"/>
    <w:rsid w:val="0081380A"/>
    <w:rsid w:val="00856576"/>
    <w:rsid w:val="008F5F74"/>
    <w:rsid w:val="00911CFB"/>
    <w:rsid w:val="00915FDB"/>
    <w:rsid w:val="00922503"/>
    <w:rsid w:val="00931E80"/>
    <w:rsid w:val="009337BB"/>
    <w:rsid w:val="0093481F"/>
    <w:rsid w:val="00940067"/>
    <w:rsid w:val="009404AF"/>
    <w:rsid w:val="00964E0D"/>
    <w:rsid w:val="009650A2"/>
    <w:rsid w:val="009A7914"/>
    <w:rsid w:val="009B6D60"/>
    <w:rsid w:val="009F22AB"/>
    <w:rsid w:val="00A01A2F"/>
    <w:rsid w:val="00A40EEB"/>
    <w:rsid w:val="00A443DB"/>
    <w:rsid w:val="00A5086A"/>
    <w:rsid w:val="00A62151"/>
    <w:rsid w:val="00A7523C"/>
    <w:rsid w:val="00AD4E3F"/>
    <w:rsid w:val="00AE2D40"/>
    <w:rsid w:val="00B006D4"/>
    <w:rsid w:val="00B55DAA"/>
    <w:rsid w:val="00B63930"/>
    <w:rsid w:val="00B76E01"/>
    <w:rsid w:val="00B806F7"/>
    <w:rsid w:val="00BC13DA"/>
    <w:rsid w:val="00BC5E36"/>
    <w:rsid w:val="00BD21C2"/>
    <w:rsid w:val="00BD7D4D"/>
    <w:rsid w:val="00BE3982"/>
    <w:rsid w:val="00C0001E"/>
    <w:rsid w:val="00C17840"/>
    <w:rsid w:val="00C66ED2"/>
    <w:rsid w:val="00CA2DB1"/>
    <w:rsid w:val="00CE6D02"/>
    <w:rsid w:val="00D020BA"/>
    <w:rsid w:val="00D4467B"/>
    <w:rsid w:val="00D45E6C"/>
    <w:rsid w:val="00D575A5"/>
    <w:rsid w:val="00D57FEF"/>
    <w:rsid w:val="00D617ED"/>
    <w:rsid w:val="00D67F18"/>
    <w:rsid w:val="00D76FBC"/>
    <w:rsid w:val="00D836FD"/>
    <w:rsid w:val="00DA34ED"/>
    <w:rsid w:val="00DA79E0"/>
    <w:rsid w:val="00DB78CE"/>
    <w:rsid w:val="00DC019B"/>
    <w:rsid w:val="00DD404C"/>
    <w:rsid w:val="00E056A9"/>
    <w:rsid w:val="00E35721"/>
    <w:rsid w:val="00F42F86"/>
    <w:rsid w:val="00F47AFD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D650"/>
  <w15:chartTrackingRefBased/>
  <w15:docId w15:val="{CF94F908-B4B4-46E6-92C4-53D429F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5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2503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36E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6B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.com/en_us/cfo-agenda/top-cfos-focused-on-banking-volat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Props1.xml><?xml version="1.0" encoding="utf-8"?>
<ds:datastoreItem xmlns:ds="http://schemas.openxmlformats.org/officeDocument/2006/customXml" ds:itemID="{D88C17F8-8A2F-4A1C-A04C-65BC2921C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5E7A-8093-42F9-8CD0-1E1B36E5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37880-C2AE-42A0-B213-0D95E1F65F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15</cp:revision>
  <dcterms:created xsi:type="dcterms:W3CDTF">2023-06-28T16:18:00Z</dcterms:created>
  <dcterms:modified xsi:type="dcterms:W3CDTF">2023-07-25T17:07:00Z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