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FC57" w14:textId="6BCAE126" w:rsidR="00EA7D99" w:rsidRDefault="00EA7D99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>
        <w:rPr>
          <w:color w:val="444444"/>
        </w:rPr>
        <w:t>Independent Banker</w:t>
      </w:r>
      <w:r>
        <w:rPr>
          <w:color w:val="444444"/>
        </w:rPr>
        <w:br/>
        <w:t>September 2023</w:t>
      </w:r>
      <w:r>
        <w:rPr>
          <w:color w:val="444444"/>
        </w:rPr>
        <w:br/>
        <w:t>Portfolio</w:t>
      </w:r>
    </w:p>
    <w:p w14:paraId="030A4DBA" w14:textId="4D5A0249" w:rsidR="00EA7D99" w:rsidRPr="00EA7D99" w:rsidRDefault="00EA7D99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>
        <w:rPr>
          <w:color w:val="444444"/>
        </w:rPr>
        <w:t>[tag] Checks and Balances</w:t>
      </w:r>
    </w:p>
    <w:p w14:paraId="132A54A7" w14:textId="47CCB470" w:rsidR="0002396F" w:rsidRPr="00EA7D99" w:rsidRDefault="00EA7D99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[hed] </w:t>
      </w:r>
      <w:r w:rsidR="0002396F" w:rsidRPr="00EA7D99">
        <w:rPr>
          <w:color w:val="444444"/>
        </w:rPr>
        <w:t xml:space="preserve">Are </w:t>
      </w:r>
      <w:r w:rsidR="00A75AE2">
        <w:rPr>
          <w:color w:val="444444"/>
        </w:rPr>
        <w:t>c</w:t>
      </w:r>
      <w:r w:rsidR="0002396F" w:rsidRPr="00EA7D99">
        <w:rPr>
          <w:color w:val="444444"/>
        </w:rPr>
        <w:t xml:space="preserve">hanges to </w:t>
      </w:r>
      <w:r w:rsidR="00A75AE2">
        <w:rPr>
          <w:color w:val="444444"/>
        </w:rPr>
        <w:t>b</w:t>
      </w:r>
      <w:r w:rsidR="0002396F" w:rsidRPr="00EA7D99">
        <w:rPr>
          <w:color w:val="444444"/>
        </w:rPr>
        <w:t xml:space="preserve">ank M&amp;A </w:t>
      </w:r>
      <w:r w:rsidR="00A75AE2">
        <w:rPr>
          <w:color w:val="444444"/>
        </w:rPr>
        <w:t>r</w:t>
      </w:r>
      <w:r w:rsidR="0002396F" w:rsidRPr="00EA7D99">
        <w:rPr>
          <w:color w:val="444444"/>
        </w:rPr>
        <w:t xml:space="preserve">ules on the </w:t>
      </w:r>
      <w:r w:rsidR="00A75AE2">
        <w:rPr>
          <w:color w:val="444444"/>
        </w:rPr>
        <w:t>h</w:t>
      </w:r>
      <w:r w:rsidR="0002396F" w:rsidRPr="00EA7D99">
        <w:rPr>
          <w:color w:val="444444"/>
        </w:rPr>
        <w:t>orizon?</w:t>
      </w:r>
    </w:p>
    <w:p w14:paraId="780AB21F" w14:textId="3176B163" w:rsidR="00A75AE2" w:rsidRDefault="00A75AE2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>
        <w:rPr>
          <w:color w:val="444444"/>
        </w:rPr>
        <w:t>[dek]</w:t>
      </w:r>
      <w:r w:rsidR="007176BC">
        <w:rPr>
          <w:color w:val="444444"/>
        </w:rPr>
        <w:t xml:space="preserve"> The Department of Justice and other banking agencies are evaluating a new potential M&amp;A framework. What does this mean for community banks?</w:t>
      </w:r>
    </w:p>
    <w:p w14:paraId="7CEFDBC2" w14:textId="20418C50" w:rsidR="0002396F" w:rsidRDefault="00A75AE2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>
        <w:rPr>
          <w:color w:val="444444"/>
        </w:rPr>
        <w:t xml:space="preserve">[byline] </w:t>
      </w:r>
      <w:r w:rsidR="0002396F" w:rsidRPr="00EA7D99">
        <w:rPr>
          <w:color w:val="444444"/>
        </w:rPr>
        <w:t>By Jenna Burke</w:t>
      </w:r>
    </w:p>
    <w:p w14:paraId="49A794D2" w14:textId="2918DB93" w:rsidR="00A75AE2" w:rsidRPr="00EA7D99" w:rsidRDefault="00A75AE2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>
        <w:rPr>
          <w:color w:val="444444"/>
        </w:rPr>
        <w:t>[body]</w:t>
      </w:r>
    </w:p>
    <w:p w14:paraId="29F2BFDA" w14:textId="77082DFD" w:rsidR="007562CD" w:rsidRDefault="0002396F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A little over a year since the Federal Deposit Insurance Corporation (FDIC) first issued a request for information on bank mergers and acquisitions under the Bank Merger Act, the </w:t>
      </w:r>
      <w:r w:rsidR="00A75AE2">
        <w:rPr>
          <w:color w:val="444444"/>
        </w:rPr>
        <w:t xml:space="preserve">Department of </w:t>
      </w:r>
      <w:r w:rsidRPr="00EA7D99">
        <w:rPr>
          <w:color w:val="444444"/>
        </w:rPr>
        <w:t xml:space="preserve">Justice </w:t>
      </w:r>
      <w:r w:rsidR="00A849C8" w:rsidRPr="00EA7D99">
        <w:rPr>
          <w:color w:val="444444"/>
        </w:rPr>
        <w:t>(DOJ)</w:t>
      </w:r>
      <w:r w:rsidRPr="00EA7D99">
        <w:rPr>
          <w:color w:val="444444"/>
        </w:rPr>
        <w:t xml:space="preserve"> and leaders within the federal banking </w:t>
      </w:r>
      <w:r w:rsidR="00C34C65" w:rsidRPr="00EA7D99">
        <w:rPr>
          <w:color w:val="444444"/>
        </w:rPr>
        <w:t>agencies</w:t>
      </w:r>
      <w:r w:rsidRPr="00EA7D99">
        <w:rPr>
          <w:color w:val="444444"/>
        </w:rPr>
        <w:t xml:space="preserve"> are expressing interest in updating existing M&amp;A rules</w:t>
      </w:r>
      <w:r w:rsidR="00A75AE2">
        <w:rPr>
          <w:color w:val="444444"/>
        </w:rPr>
        <w:t>.</w:t>
      </w:r>
      <w:r w:rsidRPr="00EA7D99">
        <w:rPr>
          <w:color w:val="444444"/>
        </w:rPr>
        <w:t xml:space="preserve"> </w:t>
      </w:r>
    </w:p>
    <w:p w14:paraId="7E71B304" w14:textId="0FD948E3" w:rsidR="004F3E1E" w:rsidRPr="00EA7D99" w:rsidRDefault="0002396F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ICBA is working to ensure that any new regulatory framework </w:t>
      </w:r>
      <w:r w:rsidR="004F3E1E" w:rsidRPr="00EA7D99">
        <w:rPr>
          <w:color w:val="444444"/>
        </w:rPr>
        <w:t>promotes a strong community banking industry and protects local communities.</w:t>
      </w:r>
    </w:p>
    <w:p w14:paraId="385E4799" w14:textId="77777777" w:rsidR="007562CD" w:rsidRDefault="004F3E1E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>Bank mergers are scrutinized under</w:t>
      </w:r>
      <w:r w:rsidR="00A849C8" w:rsidRPr="00EA7D99">
        <w:rPr>
          <w:color w:val="444444"/>
        </w:rPr>
        <w:t xml:space="preserve"> DOJ Bank Merger Guidelines</w:t>
      </w:r>
      <w:r w:rsidR="00A31058" w:rsidRPr="00EA7D99">
        <w:rPr>
          <w:color w:val="444444"/>
        </w:rPr>
        <w:t xml:space="preserve"> that were</w:t>
      </w:r>
      <w:r w:rsidR="00A849C8" w:rsidRPr="00EA7D99">
        <w:rPr>
          <w:color w:val="444444"/>
        </w:rPr>
        <w:t xml:space="preserve"> last updated in 1995</w:t>
      </w:r>
      <w:r w:rsidR="007562CD">
        <w:rPr>
          <w:color w:val="444444"/>
        </w:rPr>
        <w:t>,</w:t>
      </w:r>
      <w:r w:rsidR="00AF2569" w:rsidRPr="00EA7D99">
        <w:rPr>
          <w:color w:val="444444"/>
        </w:rPr>
        <w:t xml:space="preserve"> when the banking industry looked very different.</w:t>
      </w:r>
      <w:r w:rsidR="00410A11" w:rsidRPr="00EA7D99">
        <w:rPr>
          <w:color w:val="444444"/>
        </w:rPr>
        <w:t xml:space="preserve"> </w:t>
      </w:r>
      <w:r w:rsidR="00F43CE6" w:rsidRPr="00EA7D99">
        <w:rPr>
          <w:color w:val="444444"/>
        </w:rPr>
        <w:t>As ICBA has repeatedly pointed out, this framewor</w:t>
      </w:r>
      <w:r w:rsidR="00FB0BD5" w:rsidRPr="00EA7D99">
        <w:rPr>
          <w:color w:val="444444"/>
        </w:rPr>
        <w:t xml:space="preserve">k is outdated and no longer reflects </w:t>
      </w:r>
      <w:r w:rsidR="00A31058" w:rsidRPr="00EA7D99">
        <w:rPr>
          <w:color w:val="444444"/>
        </w:rPr>
        <w:t xml:space="preserve">either </w:t>
      </w:r>
      <w:r w:rsidR="00FB0BD5" w:rsidRPr="00EA7D99">
        <w:rPr>
          <w:color w:val="444444"/>
        </w:rPr>
        <w:t>the realities of the competitive field</w:t>
      </w:r>
      <w:r w:rsidR="00A31058" w:rsidRPr="00EA7D99">
        <w:rPr>
          <w:color w:val="444444"/>
        </w:rPr>
        <w:t xml:space="preserve"> or the advances in mobile and online banking that have taken place since 1995</w:t>
      </w:r>
      <w:r w:rsidR="00FB0BD5" w:rsidRPr="00EA7D99">
        <w:rPr>
          <w:color w:val="444444"/>
        </w:rPr>
        <w:t>.</w:t>
      </w:r>
      <w:r w:rsidR="00510E4C" w:rsidRPr="00EA7D99">
        <w:rPr>
          <w:color w:val="444444"/>
        </w:rPr>
        <w:t xml:space="preserve"> </w:t>
      </w:r>
    </w:p>
    <w:p w14:paraId="2746E525" w14:textId="2C275BDD" w:rsidR="008412C3" w:rsidRPr="00EA7D99" w:rsidRDefault="00A31058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These </w:t>
      </w:r>
      <w:r w:rsidR="00A75AE2">
        <w:rPr>
          <w:color w:val="444444"/>
        </w:rPr>
        <w:t>g</w:t>
      </w:r>
      <w:r w:rsidRPr="00EA7D99">
        <w:rPr>
          <w:color w:val="444444"/>
        </w:rPr>
        <w:t xml:space="preserve">uidelines reflect an era </w:t>
      </w:r>
      <w:r w:rsidR="00510E4C" w:rsidRPr="00EA7D99">
        <w:rPr>
          <w:color w:val="444444"/>
        </w:rPr>
        <w:t>when there were no fintechs</w:t>
      </w:r>
      <w:r w:rsidR="007562CD">
        <w:rPr>
          <w:color w:val="444444"/>
        </w:rPr>
        <w:t xml:space="preserve"> and </w:t>
      </w:r>
      <w:r w:rsidR="00566593" w:rsidRPr="00EA7D99">
        <w:rPr>
          <w:color w:val="444444"/>
        </w:rPr>
        <w:t>much smaller credit union and Farm Credit System (FCS) competition</w:t>
      </w:r>
      <w:r w:rsidR="007562CD">
        <w:rPr>
          <w:color w:val="444444"/>
        </w:rPr>
        <w:t>,</w:t>
      </w:r>
      <w:r w:rsidR="00566593" w:rsidRPr="00EA7D99">
        <w:rPr>
          <w:color w:val="444444"/>
        </w:rPr>
        <w:t xml:space="preserve"> </w:t>
      </w:r>
      <w:r w:rsidR="00D75D43" w:rsidRPr="00EA7D99">
        <w:rPr>
          <w:color w:val="444444"/>
        </w:rPr>
        <w:t xml:space="preserve">and </w:t>
      </w:r>
      <w:r w:rsidR="00410A11" w:rsidRPr="00EA7D99">
        <w:rPr>
          <w:color w:val="444444"/>
        </w:rPr>
        <w:t>interstate branching had just recently been introduced</w:t>
      </w:r>
      <w:r w:rsidR="00380FD4" w:rsidRPr="00EA7D99">
        <w:rPr>
          <w:color w:val="444444"/>
        </w:rPr>
        <w:t xml:space="preserve">. </w:t>
      </w:r>
      <w:r w:rsidR="00D75D43" w:rsidRPr="00EA7D99">
        <w:rPr>
          <w:color w:val="444444"/>
        </w:rPr>
        <w:t>The seven largest U.S. banks didn’t yet h</w:t>
      </w:r>
      <w:r w:rsidR="006B78AA" w:rsidRPr="00EA7D99">
        <w:rPr>
          <w:color w:val="444444"/>
        </w:rPr>
        <w:t>ave the same</w:t>
      </w:r>
      <w:r w:rsidR="002948F3" w:rsidRPr="00EA7D99">
        <w:rPr>
          <w:color w:val="444444"/>
        </w:rPr>
        <w:t xml:space="preserve"> combined</w:t>
      </w:r>
      <w:r w:rsidR="006B78AA" w:rsidRPr="00EA7D99">
        <w:rPr>
          <w:color w:val="444444"/>
        </w:rPr>
        <w:t xml:space="preserve"> market share of deposits </w:t>
      </w:r>
      <w:r w:rsidR="002948F3" w:rsidRPr="00EA7D99">
        <w:rPr>
          <w:color w:val="444444"/>
        </w:rPr>
        <w:t xml:space="preserve">as the rest of </w:t>
      </w:r>
      <w:r w:rsidR="00D44665" w:rsidRPr="00EA7D99">
        <w:rPr>
          <w:color w:val="444444"/>
        </w:rPr>
        <w:t>the banks combined.</w:t>
      </w:r>
    </w:p>
    <w:p w14:paraId="30014D8F" w14:textId="68F56776" w:rsidR="008412C3" w:rsidRPr="00EA7D99" w:rsidRDefault="00C34C65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>Today, this outdated</w:t>
      </w:r>
      <w:r w:rsidR="00895E7D" w:rsidRPr="00EA7D99">
        <w:rPr>
          <w:color w:val="444444"/>
        </w:rPr>
        <w:t xml:space="preserve"> framework</w:t>
      </w:r>
      <w:r w:rsidR="00816405" w:rsidRPr="00EA7D99">
        <w:rPr>
          <w:color w:val="444444"/>
        </w:rPr>
        <w:t xml:space="preserve"> often delays or even prevents </w:t>
      </w:r>
      <w:r w:rsidR="005C4B62" w:rsidRPr="00EA7D99">
        <w:rPr>
          <w:color w:val="444444"/>
        </w:rPr>
        <w:t xml:space="preserve">community bank mergers that </w:t>
      </w:r>
      <w:r w:rsidR="00166662" w:rsidRPr="00EA7D99">
        <w:rPr>
          <w:color w:val="444444"/>
        </w:rPr>
        <w:t xml:space="preserve">would preserve </w:t>
      </w:r>
      <w:r w:rsidR="00437EA4" w:rsidRPr="00EA7D99">
        <w:rPr>
          <w:color w:val="444444"/>
        </w:rPr>
        <w:t>community bank presence in communities</w:t>
      </w:r>
      <w:r w:rsidR="00295035" w:rsidRPr="00EA7D99">
        <w:rPr>
          <w:color w:val="444444"/>
        </w:rPr>
        <w:t>, especially small rural communities,</w:t>
      </w:r>
      <w:r w:rsidR="00437EA4" w:rsidRPr="00EA7D99">
        <w:rPr>
          <w:color w:val="444444"/>
        </w:rPr>
        <w:t xml:space="preserve"> while all</w:t>
      </w:r>
      <w:r w:rsidR="007562CD">
        <w:rPr>
          <w:color w:val="444444"/>
        </w:rPr>
        <w:t xml:space="preserve"> </w:t>
      </w:r>
      <w:r w:rsidR="00437EA4" w:rsidRPr="00EA7D99">
        <w:rPr>
          <w:color w:val="444444"/>
        </w:rPr>
        <w:t>too</w:t>
      </w:r>
      <w:r w:rsidR="007562CD">
        <w:rPr>
          <w:color w:val="444444"/>
        </w:rPr>
        <w:t xml:space="preserve"> </w:t>
      </w:r>
      <w:r w:rsidR="00437EA4" w:rsidRPr="00EA7D99">
        <w:rPr>
          <w:color w:val="444444"/>
        </w:rPr>
        <w:t xml:space="preserve">often greenlighting </w:t>
      </w:r>
      <w:r w:rsidR="00AA15BD" w:rsidRPr="00EA7D99">
        <w:rPr>
          <w:color w:val="444444"/>
        </w:rPr>
        <w:t>megamergers of too-big-to-fail banks.</w:t>
      </w:r>
    </w:p>
    <w:p w14:paraId="410B5755" w14:textId="77777777" w:rsidR="007562CD" w:rsidRDefault="007562CD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</w:p>
    <w:p w14:paraId="07773174" w14:textId="298F156D" w:rsidR="00AA15BD" w:rsidRPr="00D328D0" w:rsidRDefault="00A75AE2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D328D0">
        <w:rPr>
          <w:color w:val="444444"/>
        </w:rPr>
        <w:t xml:space="preserve">[subhed] </w:t>
      </w:r>
      <w:r w:rsidR="002C4693" w:rsidRPr="00D328D0">
        <w:rPr>
          <w:color w:val="444444"/>
        </w:rPr>
        <w:t xml:space="preserve">Renewed </w:t>
      </w:r>
      <w:r w:rsidR="00BC5B87" w:rsidRPr="00D328D0">
        <w:rPr>
          <w:color w:val="444444"/>
        </w:rPr>
        <w:t>M&amp;A</w:t>
      </w:r>
      <w:r w:rsidR="002C4693" w:rsidRPr="00D328D0">
        <w:rPr>
          <w:color w:val="444444"/>
        </w:rPr>
        <w:t xml:space="preserve"> </w:t>
      </w:r>
      <w:r>
        <w:rPr>
          <w:color w:val="444444"/>
        </w:rPr>
        <w:t>i</w:t>
      </w:r>
      <w:r w:rsidR="002C4693" w:rsidRPr="00D328D0">
        <w:rPr>
          <w:color w:val="444444"/>
        </w:rPr>
        <w:t>nterest</w:t>
      </w:r>
    </w:p>
    <w:p w14:paraId="436B5CF3" w14:textId="1DBA855D" w:rsidR="002C4693" w:rsidRPr="00EA7D99" w:rsidRDefault="009379DE" w:rsidP="00EA7D99">
      <w:pPr>
        <w:pStyle w:val="NormalWeb"/>
        <w:spacing w:before="0" w:beforeAutospacing="0" w:line="276" w:lineRule="auto"/>
        <w:rPr>
          <w:color w:val="444444"/>
          <w:shd w:val="clear" w:color="auto" w:fill="FFFFFF"/>
        </w:rPr>
      </w:pPr>
      <w:r w:rsidRPr="00EA7D99">
        <w:rPr>
          <w:color w:val="444444"/>
        </w:rPr>
        <w:lastRenderedPageBreak/>
        <w:t>In June</w:t>
      </w:r>
      <w:r w:rsidR="007562CD">
        <w:rPr>
          <w:color w:val="444444"/>
        </w:rPr>
        <w:t>,</w:t>
      </w:r>
      <w:r w:rsidRPr="00EA7D99">
        <w:rPr>
          <w:color w:val="444444"/>
        </w:rPr>
        <w:t xml:space="preserve"> </w:t>
      </w:r>
      <w:r w:rsidR="00A75AE2">
        <w:rPr>
          <w:color w:val="444444"/>
        </w:rPr>
        <w:t>a</w:t>
      </w:r>
      <w:r w:rsidR="00DA5C6D" w:rsidRPr="00EA7D99">
        <w:rPr>
          <w:color w:val="444444"/>
        </w:rPr>
        <w:t xml:space="preserve">ssistant </w:t>
      </w:r>
      <w:r w:rsidR="00A75AE2">
        <w:rPr>
          <w:color w:val="444444"/>
        </w:rPr>
        <w:t>a</w:t>
      </w:r>
      <w:r w:rsidR="00DA5C6D" w:rsidRPr="00EA7D99">
        <w:rPr>
          <w:color w:val="444444"/>
        </w:rPr>
        <w:t xml:space="preserve">ttorney </w:t>
      </w:r>
      <w:r w:rsidR="00A75AE2">
        <w:rPr>
          <w:color w:val="444444"/>
        </w:rPr>
        <w:t>g</w:t>
      </w:r>
      <w:r w:rsidR="00DA5C6D" w:rsidRPr="00EA7D99">
        <w:rPr>
          <w:color w:val="444444"/>
        </w:rPr>
        <w:t>eneral Jonathan Kanter</w:t>
      </w:r>
      <w:r w:rsidR="00FA4534" w:rsidRPr="00EA7D99">
        <w:rPr>
          <w:color w:val="444444"/>
        </w:rPr>
        <w:t xml:space="preserve"> </w:t>
      </w:r>
      <w:r w:rsidR="00BF3742" w:rsidRPr="00EA7D99">
        <w:rPr>
          <w:color w:val="444444"/>
        </w:rPr>
        <w:t xml:space="preserve">once again shined a </w:t>
      </w:r>
      <w:r w:rsidR="00FA4534" w:rsidRPr="00EA7D99">
        <w:rPr>
          <w:color w:val="444444"/>
        </w:rPr>
        <w:t xml:space="preserve">spotlight on bank M&amp;As in a speech </w:t>
      </w:r>
      <w:r w:rsidR="00301A27" w:rsidRPr="00EA7D99">
        <w:rPr>
          <w:color w:val="444444"/>
        </w:rPr>
        <w:t xml:space="preserve">where he </w:t>
      </w:r>
      <w:r w:rsidR="00472B52" w:rsidRPr="00EA7D99">
        <w:rPr>
          <w:color w:val="444444"/>
        </w:rPr>
        <w:t xml:space="preserve">said </w:t>
      </w:r>
      <w:r w:rsidR="00C97BF7" w:rsidRPr="00EA7D99">
        <w:rPr>
          <w:color w:val="444444"/>
        </w:rPr>
        <w:t xml:space="preserve">that </w:t>
      </w:r>
      <w:r w:rsidR="00301D0F" w:rsidRPr="00EA7D99">
        <w:rPr>
          <w:color w:val="444444"/>
        </w:rPr>
        <w:t>it’s time “</w:t>
      </w:r>
      <w:r w:rsidR="00301D0F" w:rsidRPr="00EA7D99">
        <w:rPr>
          <w:color w:val="444444"/>
          <w:shd w:val="clear" w:color="auto" w:fill="FFFFFF"/>
        </w:rPr>
        <w:t>to take stock of how the department is fulfilling its statutory role in bank merger enforcement</w:t>
      </w:r>
      <w:r w:rsidR="00FD2D91" w:rsidRPr="00EA7D99">
        <w:rPr>
          <w:color w:val="444444"/>
          <w:shd w:val="clear" w:color="auto" w:fill="FFFFFF"/>
        </w:rPr>
        <w:t xml:space="preserve">” to ensure it </w:t>
      </w:r>
      <w:r w:rsidR="00907A9C" w:rsidRPr="00EA7D99">
        <w:rPr>
          <w:color w:val="444444"/>
          <w:shd w:val="clear" w:color="auto" w:fill="FFFFFF"/>
        </w:rPr>
        <w:t xml:space="preserve">reflects the realities of the current market and </w:t>
      </w:r>
      <w:r w:rsidR="0050299D" w:rsidRPr="00EA7D99">
        <w:rPr>
          <w:color w:val="444444"/>
          <w:shd w:val="clear" w:color="auto" w:fill="FFFFFF"/>
        </w:rPr>
        <w:t>preserves competition.</w:t>
      </w:r>
      <w:r w:rsidR="00D94FA8" w:rsidRPr="00EA7D99">
        <w:rPr>
          <w:color w:val="444444"/>
          <w:shd w:val="clear" w:color="auto" w:fill="FFFFFF"/>
        </w:rPr>
        <w:t xml:space="preserve"> </w:t>
      </w:r>
      <w:r w:rsidR="00EA2DD7" w:rsidRPr="00EA7D99">
        <w:rPr>
          <w:color w:val="444444"/>
          <w:shd w:val="clear" w:color="auto" w:fill="FFFFFF"/>
        </w:rPr>
        <w:t xml:space="preserve">Acting </w:t>
      </w:r>
      <w:r w:rsidR="00A75AE2">
        <w:rPr>
          <w:color w:val="444444"/>
          <w:shd w:val="clear" w:color="auto" w:fill="FFFFFF"/>
        </w:rPr>
        <w:t>c</w:t>
      </w:r>
      <w:r w:rsidR="00EA2DD7" w:rsidRPr="00EA7D99">
        <w:rPr>
          <w:color w:val="444444"/>
          <w:shd w:val="clear" w:color="auto" w:fill="FFFFFF"/>
        </w:rPr>
        <w:t xml:space="preserve">omptroller of the </w:t>
      </w:r>
      <w:r w:rsidR="00A75AE2">
        <w:rPr>
          <w:color w:val="444444"/>
          <w:shd w:val="clear" w:color="auto" w:fill="FFFFFF"/>
        </w:rPr>
        <w:t>c</w:t>
      </w:r>
      <w:r w:rsidR="00EA2DD7" w:rsidRPr="00EA7D99">
        <w:rPr>
          <w:color w:val="444444"/>
          <w:shd w:val="clear" w:color="auto" w:fill="FFFFFF"/>
        </w:rPr>
        <w:t xml:space="preserve">urrency Michael Hsu also </w:t>
      </w:r>
      <w:r w:rsidR="00070F1E" w:rsidRPr="00EA7D99">
        <w:rPr>
          <w:color w:val="444444"/>
          <w:shd w:val="clear" w:color="auto" w:fill="FFFFFF"/>
        </w:rPr>
        <w:t>reiterated</w:t>
      </w:r>
      <w:r w:rsidR="00535636" w:rsidRPr="00EA7D99">
        <w:rPr>
          <w:color w:val="444444"/>
          <w:shd w:val="clear" w:color="auto" w:fill="FFFFFF"/>
        </w:rPr>
        <w:t xml:space="preserve"> </w:t>
      </w:r>
      <w:r w:rsidR="006C4D0F" w:rsidRPr="00EA7D99">
        <w:rPr>
          <w:color w:val="444444"/>
          <w:shd w:val="clear" w:color="auto" w:fill="FFFFFF"/>
        </w:rPr>
        <w:t xml:space="preserve">his </w:t>
      </w:r>
      <w:r w:rsidR="00535636" w:rsidRPr="00EA7D99">
        <w:rPr>
          <w:color w:val="444444"/>
          <w:shd w:val="clear" w:color="auto" w:fill="FFFFFF"/>
        </w:rPr>
        <w:t xml:space="preserve">previous calls to update </w:t>
      </w:r>
      <w:r w:rsidR="00D01079" w:rsidRPr="00EA7D99">
        <w:rPr>
          <w:color w:val="444444"/>
          <w:shd w:val="clear" w:color="auto" w:fill="FFFFFF"/>
        </w:rPr>
        <w:t>the framework</w:t>
      </w:r>
      <w:r w:rsidR="00F4146B" w:rsidRPr="00EA7D99">
        <w:rPr>
          <w:color w:val="444444"/>
          <w:shd w:val="clear" w:color="auto" w:fill="FFFFFF"/>
        </w:rPr>
        <w:t xml:space="preserve"> in February</w:t>
      </w:r>
      <w:r w:rsidR="00D01079" w:rsidRPr="00EA7D99">
        <w:rPr>
          <w:color w:val="444444"/>
          <w:shd w:val="clear" w:color="auto" w:fill="FFFFFF"/>
        </w:rPr>
        <w:t xml:space="preserve">, citing concerns over diminished competition and </w:t>
      </w:r>
      <w:r w:rsidR="006C4D0F" w:rsidRPr="00EA7D99">
        <w:rPr>
          <w:color w:val="444444"/>
          <w:shd w:val="clear" w:color="auto" w:fill="FFFFFF"/>
        </w:rPr>
        <w:t>increased systemic risk if the rules don’t evolve with the marketplace.</w:t>
      </w:r>
    </w:p>
    <w:p w14:paraId="20B59781" w14:textId="77777777" w:rsidR="007562CD" w:rsidRDefault="003036AB">
      <w:pPr>
        <w:pStyle w:val="NormalWeb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The DOJ invited comments on </w:t>
      </w:r>
      <w:r w:rsidR="00BC1B28" w:rsidRPr="00EA7D99">
        <w:rPr>
          <w:color w:val="444444"/>
        </w:rPr>
        <w:t>its Bank Merger G</w:t>
      </w:r>
      <w:r w:rsidRPr="00EA7D99">
        <w:rPr>
          <w:color w:val="444444"/>
        </w:rPr>
        <w:t xml:space="preserve">uidelines in 2020 and </w:t>
      </w:r>
      <w:r w:rsidR="00081698" w:rsidRPr="00EA7D99">
        <w:rPr>
          <w:color w:val="444444"/>
        </w:rPr>
        <w:t xml:space="preserve">again in </w:t>
      </w:r>
      <w:r w:rsidRPr="00EA7D99">
        <w:rPr>
          <w:color w:val="444444"/>
        </w:rPr>
        <w:t>2021</w:t>
      </w:r>
      <w:r w:rsidR="00C41834" w:rsidRPr="00EA7D99">
        <w:rPr>
          <w:color w:val="444444"/>
        </w:rPr>
        <w:t xml:space="preserve"> after President Joe Biden </w:t>
      </w:r>
      <w:r w:rsidR="002D57BE" w:rsidRPr="00EA7D99">
        <w:rPr>
          <w:color w:val="444444"/>
        </w:rPr>
        <w:t>issue</w:t>
      </w:r>
      <w:r w:rsidR="00C34C65" w:rsidRPr="00EA7D99">
        <w:rPr>
          <w:color w:val="444444"/>
        </w:rPr>
        <w:t>d</w:t>
      </w:r>
      <w:r w:rsidR="002D57BE" w:rsidRPr="00EA7D99">
        <w:rPr>
          <w:color w:val="444444"/>
        </w:rPr>
        <w:t xml:space="preserve"> an executive order</w:t>
      </w:r>
      <w:r w:rsidR="00081698" w:rsidRPr="00EA7D99">
        <w:rPr>
          <w:color w:val="444444"/>
        </w:rPr>
        <w:t xml:space="preserve"> calling for an </w:t>
      </w:r>
      <w:r w:rsidR="00081698" w:rsidRPr="00EA7D99">
        <w:rPr>
          <w:rStyle w:val="Strong"/>
          <w:b w:val="0"/>
          <w:bCs w:val="0"/>
          <w:color w:val="0A2458"/>
          <w:shd w:val="clear" w:color="auto" w:fill="FFFFFF"/>
        </w:rPr>
        <w:t xml:space="preserve">update </w:t>
      </w:r>
      <w:r w:rsidR="00037397" w:rsidRPr="00EA7D99">
        <w:rPr>
          <w:rStyle w:val="Strong"/>
          <w:b w:val="0"/>
          <w:bCs w:val="0"/>
          <w:color w:val="0A2458"/>
          <w:shd w:val="clear" w:color="auto" w:fill="FFFFFF"/>
        </w:rPr>
        <w:t>of bank merger guidelines</w:t>
      </w:r>
      <w:r w:rsidR="001D4DDB" w:rsidRPr="00EA7D99">
        <w:rPr>
          <w:color w:val="444444"/>
        </w:rPr>
        <w:t xml:space="preserve">. </w:t>
      </w:r>
      <w:r w:rsidR="00C34C65" w:rsidRPr="00EA7D99">
        <w:rPr>
          <w:color w:val="444444"/>
        </w:rPr>
        <w:t xml:space="preserve">The FDIC also published a request for information in 2022 seeking comments on the bank merger regulatory framework. </w:t>
      </w:r>
    </w:p>
    <w:p w14:paraId="29759D88" w14:textId="2908F694" w:rsidR="000D5B54" w:rsidRPr="00EA7D99" w:rsidRDefault="003C3976" w:rsidP="00D328D0">
      <w:pPr>
        <w:pStyle w:val="NormalWeb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>Agency leaders’ demonstrated interest in revisions to the bank merger framework</w:t>
      </w:r>
      <w:r w:rsidR="007562CD">
        <w:rPr>
          <w:color w:val="444444"/>
        </w:rPr>
        <w:t>,</w:t>
      </w:r>
      <w:r w:rsidRPr="00EA7D99">
        <w:rPr>
          <w:color w:val="444444"/>
        </w:rPr>
        <w:t xml:space="preserve"> coupled with a framework that has not been updated in nearly </w:t>
      </w:r>
      <w:r w:rsidR="007562CD">
        <w:rPr>
          <w:color w:val="444444"/>
        </w:rPr>
        <w:t>30</w:t>
      </w:r>
      <w:r w:rsidR="007562CD" w:rsidRPr="00EA7D99">
        <w:rPr>
          <w:color w:val="444444"/>
        </w:rPr>
        <w:t xml:space="preserve"> </w:t>
      </w:r>
      <w:r w:rsidRPr="00EA7D99">
        <w:rPr>
          <w:color w:val="444444"/>
        </w:rPr>
        <w:t>years</w:t>
      </w:r>
      <w:r w:rsidR="007562CD">
        <w:rPr>
          <w:color w:val="444444"/>
        </w:rPr>
        <w:t>,</w:t>
      </w:r>
      <w:r w:rsidRPr="00EA7D99">
        <w:rPr>
          <w:color w:val="444444"/>
        </w:rPr>
        <w:t xml:space="preserve"> suggests more concrete proposals to modernize bank merger regulations could be forthcoming.  </w:t>
      </w:r>
    </w:p>
    <w:p w14:paraId="22AA343A" w14:textId="57E85F03" w:rsidR="00896726" w:rsidRPr="00EA7D99" w:rsidRDefault="00A31058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As the agencies review public comment and evaluate possible changes to the framework, </w:t>
      </w:r>
      <w:r w:rsidR="00F4146B" w:rsidRPr="00EA7D99">
        <w:rPr>
          <w:color w:val="444444"/>
        </w:rPr>
        <w:t xml:space="preserve">ICBA encourages the FDIC </w:t>
      </w:r>
      <w:r w:rsidRPr="00EA7D99">
        <w:rPr>
          <w:color w:val="444444"/>
        </w:rPr>
        <w:t xml:space="preserve">and the DOJ </w:t>
      </w:r>
      <w:r w:rsidR="00F4146B" w:rsidRPr="00EA7D99">
        <w:rPr>
          <w:color w:val="444444"/>
        </w:rPr>
        <w:t>to coordinate with the Office of the Comptroller of the Currency (OCC</w:t>
      </w:r>
      <w:r w:rsidR="007562CD" w:rsidRPr="00EA7D99">
        <w:rPr>
          <w:color w:val="444444"/>
        </w:rPr>
        <w:t>)</w:t>
      </w:r>
      <w:r w:rsidR="007562CD">
        <w:rPr>
          <w:color w:val="444444"/>
        </w:rPr>
        <w:t xml:space="preserve"> and</w:t>
      </w:r>
      <w:r w:rsidR="007562CD" w:rsidRPr="00EA7D99">
        <w:rPr>
          <w:color w:val="444444"/>
        </w:rPr>
        <w:t xml:space="preserve"> </w:t>
      </w:r>
      <w:r w:rsidR="00F4146B" w:rsidRPr="00EA7D99">
        <w:rPr>
          <w:color w:val="444444"/>
        </w:rPr>
        <w:t xml:space="preserve">the </w:t>
      </w:r>
      <w:r w:rsidR="00BC1B28" w:rsidRPr="00EA7D99">
        <w:rPr>
          <w:color w:val="444444"/>
        </w:rPr>
        <w:t xml:space="preserve">Board of </w:t>
      </w:r>
      <w:r w:rsidR="000621AF" w:rsidRPr="00EA7D99">
        <w:rPr>
          <w:color w:val="444444"/>
        </w:rPr>
        <w:t>Governors</w:t>
      </w:r>
      <w:r w:rsidR="00BC1B28" w:rsidRPr="00EA7D99">
        <w:rPr>
          <w:color w:val="444444"/>
        </w:rPr>
        <w:t xml:space="preserve"> of the </w:t>
      </w:r>
      <w:r w:rsidR="00F4146B" w:rsidRPr="00EA7D99">
        <w:rPr>
          <w:color w:val="444444"/>
        </w:rPr>
        <w:t>Federal Reserve System</w:t>
      </w:r>
      <w:r w:rsidR="00896726" w:rsidRPr="00EA7D99">
        <w:rPr>
          <w:color w:val="444444"/>
        </w:rPr>
        <w:t xml:space="preserve"> to revise the framework based on three key principles:</w:t>
      </w:r>
    </w:p>
    <w:p w14:paraId="6ED6CA62" w14:textId="0891C85D" w:rsidR="00951D6B" w:rsidRPr="00EA7D99" w:rsidRDefault="00A25B1A" w:rsidP="00EA7D99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 xml:space="preserve">Promote </w:t>
      </w:r>
      <w:r w:rsidR="00F4146B" w:rsidRPr="00EA7D99">
        <w:rPr>
          <w:color w:val="444444"/>
        </w:rPr>
        <w:t>a competitive playing field among banks of all sizes, credit unions, nonbank</w:t>
      </w:r>
      <w:r w:rsidRPr="00EA7D99">
        <w:rPr>
          <w:color w:val="444444"/>
        </w:rPr>
        <w:t xml:space="preserve"> fintechs</w:t>
      </w:r>
      <w:r w:rsidR="00F4146B" w:rsidRPr="00EA7D99">
        <w:rPr>
          <w:color w:val="444444"/>
        </w:rPr>
        <w:t xml:space="preserve"> and farm credit associations</w:t>
      </w:r>
    </w:p>
    <w:p w14:paraId="7E4B6714" w14:textId="278696C5" w:rsidR="0098218C" w:rsidRPr="00EA7D99" w:rsidRDefault="00951D6B" w:rsidP="00EA7D99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>P</w:t>
      </w:r>
      <w:r w:rsidR="00F4146B" w:rsidRPr="00EA7D99">
        <w:rPr>
          <w:color w:val="444444"/>
        </w:rPr>
        <w:t>rohibit “too</w:t>
      </w:r>
      <w:r w:rsidR="007562CD">
        <w:rPr>
          <w:color w:val="444444"/>
        </w:rPr>
        <w:t xml:space="preserve"> </w:t>
      </w:r>
      <w:r w:rsidR="00F4146B" w:rsidRPr="00EA7D99">
        <w:rPr>
          <w:color w:val="444444"/>
        </w:rPr>
        <w:t>big</w:t>
      </w:r>
      <w:r w:rsidR="007562CD">
        <w:rPr>
          <w:color w:val="444444"/>
        </w:rPr>
        <w:t xml:space="preserve"> </w:t>
      </w:r>
      <w:r w:rsidR="00F4146B" w:rsidRPr="00EA7D99">
        <w:rPr>
          <w:color w:val="444444"/>
        </w:rPr>
        <w:t>to</w:t>
      </w:r>
      <w:r w:rsidR="007562CD">
        <w:rPr>
          <w:color w:val="444444"/>
        </w:rPr>
        <w:t xml:space="preserve"> </w:t>
      </w:r>
      <w:r w:rsidR="00F4146B" w:rsidRPr="00EA7D99">
        <w:rPr>
          <w:color w:val="444444"/>
        </w:rPr>
        <w:t>fail”</w:t>
      </w:r>
      <w:r w:rsidRPr="00EA7D99">
        <w:rPr>
          <w:color w:val="444444"/>
        </w:rPr>
        <w:t xml:space="preserve"> bank monopolies</w:t>
      </w:r>
    </w:p>
    <w:p w14:paraId="1565CD31" w14:textId="127AB6AA" w:rsidR="003E29EE" w:rsidRPr="00EA7D99" w:rsidRDefault="0098218C" w:rsidP="00EA7D99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>Make it quicker and easier for small bank mergers</w:t>
      </w:r>
      <w:r w:rsidR="0011152F" w:rsidRPr="00EA7D99">
        <w:rPr>
          <w:color w:val="444444"/>
        </w:rPr>
        <w:t xml:space="preserve"> that strengthen local communities with a continued community bank presence</w:t>
      </w:r>
      <w:r w:rsidR="00F4146B" w:rsidRPr="00EA7D99">
        <w:rPr>
          <w:color w:val="444444"/>
        </w:rPr>
        <w:t>, including rural and low-to-moderate income (LMI) communities.</w:t>
      </w:r>
    </w:p>
    <w:p w14:paraId="1393961C" w14:textId="77777777" w:rsidR="007562CD" w:rsidRDefault="007562CD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</w:p>
    <w:p w14:paraId="4F273AC4" w14:textId="5EE786E4" w:rsidR="001B40B3" w:rsidRPr="00D328D0" w:rsidRDefault="00A75AE2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D328D0">
        <w:rPr>
          <w:color w:val="444444"/>
        </w:rPr>
        <w:t xml:space="preserve">[subhed] </w:t>
      </w:r>
      <w:r w:rsidR="002A7543" w:rsidRPr="00D328D0">
        <w:rPr>
          <w:color w:val="444444"/>
        </w:rPr>
        <w:t xml:space="preserve">ICBA </w:t>
      </w:r>
      <w:r>
        <w:rPr>
          <w:color w:val="444444"/>
        </w:rPr>
        <w:t>r</w:t>
      </w:r>
      <w:r w:rsidR="002A7543" w:rsidRPr="00D328D0">
        <w:rPr>
          <w:color w:val="444444"/>
        </w:rPr>
        <w:t>ecommendations</w:t>
      </w:r>
      <w:r w:rsidR="00B92713" w:rsidRPr="00D328D0">
        <w:rPr>
          <w:color w:val="444444"/>
        </w:rPr>
        <w:t xml:space="preserve"> for </w:t>
      </w:r>
      <w:r>
        <w:rPr>
          <w:color w:val="444444"/>
        </w:rPr>
        <w:t>b</w:t>
      </w:r>
      <w:r w:rsidR="00B92713" w:rsidRPr="00D328D0">
        <w:rPr>
          <w:color w:val="444444"/>
        </w:rPr>
        <w:t>ank M&amp;A</w:t>
      </w:r>
      <w:r w:rsidR="00C41DF1" w:rsidRPr="00D328D0">
        <w:rPr>
          <w:color w:val="444444"/>
        </w:rPr>
        <w:t xml:space="preserve"> </w:t>
      </w:r>
      <w:r>
        <w:rPr>
          <w:color w:val="444444"/>
        </w:rPr>
        <w:t>u</w:t>
      </w:r>
      <w:r w:rsidR="00C41DF1" w:rsidRPr="00D328D0">
        <w:rPr>
          <w:color w:val="444444"/>
        </w:rPr>
        <w:t>pdates</w:t>
      </w:r>
    </w:p>
    <w:p w14:paraId="700F1E96" w14:textId="1568C854" w:rsidR="00C63360" w:rsidRPr="00EA7D99" w:rsidRDefault="00C63360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 w:rsidRPr="00EA7D99">
        <w:rPr>
          <w:color w:val="444444"/>
        </w:rPr>
        <w:t>ICBA has written comment letters offering suggestions for furthering these goals.</w:t>
      </w:r>
      <w:r w:rsidR="00FA5545" w:rsidRPr="00EA7D99">
        <w:rPr>
          <w:color w:val="444444"/>
        </w:rPr>
        <w:t xml:space="preserve"> They include:</w:t>
      </w:r>
    </w:p>
    <w:p w14:paraId="3B81B5D2" w14:textId="69912779" w:rsidR="00710276" w:rsidRPr="00EA7D99" w:rsidRDefault="002A7543" w:rsidP="00EA7D9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</w:pPr>
      <w:r w:rsidRPr="00EA7D99">
        <w:t>Creat</w:t>
      </w:r>
      <w:r w:rsidR="00FA5545" w:rsidRPr="00EA7D99">
        <w:t>ing</w:t>
      </w:r>
      <w:r w:rsidRPr="00EA7D99">
        <w:t xml:space="preserve"> a small bank </w:t>
      </w:r>
      <w:r w:rsidR="00A75AE2">
        <w:t>&lt;i&gt;</w:t>
      </w:r>
      <w:r w:rsidRPr="00EA7D99">
        <w:rPr>
          <w:i/>
          <w:iCs/>
        </w:rPr>
        <w:t>de minimis</w:t>
      </w:r>
      <w:r w:rsidR="00A75AE2">
        <w:t>&lt;i&gt;</w:t>
      </w:r>
      <w:r w:rsidRPr="00EA7D99">
        <w:t xml:space="preserve"> exception </w:t>
      </w:r>
      <w:r w:rsidR="0049242D" w:rsidRPr="00EA7D99">
        <w:t xml:space="preserve">where small banks </w:t>
      </w:r>
      <w:r w:rsidR="00710276" w:rsidRPr="00EA7D99">
        <w:t>benefit from shorter review timeframes</w:t>
      </w:r>
      <w:r w:rsidR="00E17A44" w:rsidRPr="00EA7D99">
        <w:t xml:space="preserve"> and those with less than $1 billion in assets </w:t>
      </w:r>
      <w:r w:rsidR="00306F05" w:rsidRPr="00EA7D99">
        <w:t xml:space="preserve">are </w:t>
      </w:r>
      <w:r w:rsidR="00557F32" w:rsidRPr="00EA7D99">
        <w:t xml:space="preserve">presumed not to create monopolies or anticompetitive effects </w:t>
      </w:r>
    </w:p>
    <w:p w14:paraId="2BFFAE7E" w14:textId="732EC2C6" w:rsidR="00483ECF" w:rsidRPr="00EA7D99" w:rsidRDefault="00211A43" w:rsidP="00EA7D9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</w:pPr>
      <w:r w:rsidRPr="00EA7D99">
        <w:t>Assess</w:t>
      </w:r>
      <w:r w:rsidR="00FA5545" w:rsidRPr="00EA7D99">
        <w:t>ing</w:t>
      </w:r>
      <w:r w:rsidRPr="00EA7D99">
        <w:t xml:space="preserve"> whether mergers involving banks with $100 billion or more in assets </w:t>
      </w:r>
      <w:r w:rsidR="002A7543" w:rsidRPr="00EA7D99">
        <w:t xml:space="preserve">pose systemic risk or </w:t>
      </w:r>
      <w:r w:rsidRPr="00EA7D99">
        <w:t>are</w:t>
      </w:r>
      <w:r w:rsidR="002A7543" w:rsidRPr="00EA7D99">
        <w:t xml:space="preserve"> too big to fail</w:t>
      </w:r>
    </w:p>
    <w:p w14:paraId="209929BD" w14:textId="3A99BC7C" w:rsidR="001B40B3" w:rsidRPr="00EA7D99" w:rsidRDefault="00061719" w:rsidP="00EA7D9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</w:pPr>
      <w:r w:rsidRPr="00EA7D99">
        <w:t>Giv</w:t>
      </w:r>
      <w:r w:rsidR="00FA5545" w:rsidRPr="00EA7D99">
        <w:t>ing</w:t>
      </w:r>
      <w:r w:rsidRPr="00EA7D99">
        <w:t xml:space="preserve"> credit unions </w:t>
      </w:r>
      <w:r w:rsidR="00C41DF1" w:rsidRPr="00EA7D99">
        <w:t>and the Farm Credit System</w:t>
      </w:r>
      <w:r w:rsidR="00411C83" w:rsidRPr="00EA7D99">
        <w:t xml:space="preserve"> </w:t>
      </w:r>
      <w:r w:rsidRPr="00EA7D99">
        <w:t>the same weight as bank competitors when asses</w:t>
      </w:r>
      <w:r w:rsidR="00B55C0E" w:rsidRPr="00EA7D99">
        <w:t>s</w:t>
      </w:r>
      <w:r w:rsidRPr="00EA7D99">
        <w:t>ing the competitive landscape</w:t>
      </w:r>
    </w:p>
    <w:p w14:paraId="4AE8FCD0" w14:textId="73F8FDCA" w:rsidR="00C454E3" w:rsidRPr="00EA7D99" w:rsidRDefault="00C454E3" w:rsidP="00EA7D9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</w:pPr>
      <w:r w:rsidRPr="00EA7D99">
        <w:lastRenderedPageBreak/>
        <w:t>Scrutiniz</w:t>
      </w:r>
      <w:r w:rsidR="00FA5545" w:rsidRPr="00EA7D99">
        <w:t>ing the</w:t>
      </w:r>
      <w:r w:rsidRPr="00EA7D99">
        <w:t xml:space="preserve"> impact of credit union bank acquisitions due to lack of Community Reinvestment Act (CRA) accountability</w:t>
      </w:r>
    </w:p>
    <w:p w14:paraId="332FE04D" w14:textId="63F31FFC" w:rsidR="00C454E3" w:rsidRPr="00EA7D99" w:rsidRDefault="00275B35" w:rsidP="00EA7D9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</w:pPr>
      <w:r w:rsidRPr="00EA7D99">
        <w:t xml:space="preserve">Measuring concentration </w:t>
      </w:r>
      <w:r w:rsidR="00DD7060" w:rsidRPr="00EA7D99">
        <w:t xml:space="preserve">beyond geographic boundaries such as </w:t>
      </w:r>
      <w:r w:rsidR="00C851AF" w:rsidRPr="00EA7D99">
        <w:t>fintech companies, large banks that lend nationwide</w:t>
      </w:r>
      <w:r w:rsidR="003629FD" w:rsidRPr="00EA7D99">
        <w:t>,</w:t>
      </w:r>
      <w:r w:rsidR="00C851AF" w:rsidRPr="00EA7D99">
        <w:t xml:space="preserve"> online lenders that compete with community banks</w:t>
      </w:r>
      <w:r w:rsidR="00674F33" w:rsidRPr="00EA7D99">
        <w:t xml:space="preserve"> and farm credit </w:t>
      </w:r>
      <w:r w:rsidR="00B92713" w:rsidRPr="00EA7D99">
        <w:t>associations</w:t>
      </w:r>
      <w:r w:rsidR="008478CD" w:rsidRPr="00EA7D99">
        <w:t xml:space="preserve"> </w:t>
      </w:r>
    </w:p>
    <w:p w14:paraId="186A8D28" w14:textId="25924388" w:rsidR="00E73306" w:rsidRPr="00EA7D99" w:rsidRDefault="003C6DD6" w:rsidP="00EA7D99">
      <w:pPr>
        <w:pStyle w:val="NormalWeb"/>
        <w:numPr>
          <w:ilvl w:val="0"/>
          <w:numId w:val="2"/>
        </w:numPr>
        <w:shd w:val="clear" w:color="auto" w:fill="FFFFFF"/>
        <w:spacing w:before="0" w:beforeAutospacing="0" w:line="276" w:lineRule="auto"/>
      </w:pPr>
      <w:r w:rsidRPr="00EA7D99">
        <w:t>Excluding</w:t>
      </w:r>
      <w:r w:rsidR="00E73306" w:rsidRPr="00EA7D99">
        <w:t xml:space="preserve"> community bank merger applicants </w:t>
      </w:r>
      <w:r w:rsidRPr="00EA7D99">
        <w:t>from a</w:t>
      </w:r>
      <w:r w:rsidR="00E73306" w:rsidRPr="00EA7D99">
        <w:t xml:space="preserve"> higher burden of proof </w:t>
      </w:r>
      <w:r w:rsidR="00526979" w:rsidRPr="00EA7D99">
        <w:t xml:space="preserve">or a </w:t>
      </w:r>
      <w:r w:rsidR="00C754FB" w:rsidRPr="00EA7D99">
        <w:t xml:space="preserve">formalized </w:t>
      </w:r>
      <w:r w:rsidR="002B18D5" w:rsidRPr="00EA7D99">
        <w:t xml:space="preserve">consultation with the </w:t>
      </w:r>
      <w:r w:rsidR="00E73306" w:rsidRPr="00EA7D99">
        <w:t xml:space="preserve">Consumer Financial Protection Bureau (CFPB) </w:t>
      </w:r>
      <w:r w:rsidR="002B18D5" w:rsidRPr="00EA7D99">
        <w:t xml:space="preserve">to </w:t>
      </w:r>
      <w:r w:rsidR="00E73306" w:rsidRPr="00EA7D99">
        <w:t>evaluat</w:t>
      </w:r>
      <w:r w:rsidR="002B18D5" w:rsidRPr="00EA7D99">
        <w:t xml:space="preserve">e </w:t>
      </w:r>
      <w:r w:rsidR="00E73306" w:rsidRPr="00EA7D99">
        <w:t>convenience and needs</w:t>
      </w:r>
    </w:p>
    <w:p w14:paraId="6A37E415" w14:textId="1D43C0E1" w:rsidR="009018EB" w:rsidRPr="00EA7D99" w:rsidRDefault="00395013" w:rsidP="00EA7D99">
      <w:pPr>
        <w:pStyle w:val="NormalWeb"/>
        <w:shd w:val="clear" w:color="auto" w:fill="FFFFFF"/>
        <w:spacing w:before="0" w:beforeAutospacing="0" w:line="276" w:lineRule="auto"/>
      </w:pPr>
      <w:r w:rsidRPr="00EA7D99">
        <w:rPr>
          <w:color w:val="444444"/>
        </w:rPr>
        <w:t xml:space="preserve">As the DOJ and </w:t>
      </w:r>
      <w:r w:rsidR="00A31058" w:rsidRPr="00EA7D99">
        <w:rPr>
          <w:color w:val="444444"/>
        </w:rPr>
        <w:t xml:space="preserve">banking </w:t>
      </w:r>
      <w:r w:rsidRPr="00EA7D99">
        <w:rPr>
          <w:color w:val="444444"/>
        </w:rPr>
        <w:t xml:space="preserve">agencies reevaluate </w:t>
      </w:r>
      <w:r w:rsidR="00DC546C" w:rsidRPr="00EA7D99">
        <w:rPr>
          <w:color w:val="444444"/>
        </w:rPr>
        <w:t xml:space="preserve">the current, restrictive M&amp;A framework, ICBA will continue to </w:t>
      </w:r>
      <w:r w:rsidR="002440AA" w:rsidRPr="00EA7D99">
        <w:rPr>
          <w:color w:val="444444"/>
        </w:rPr>
        <w:t>urge the adoption of these policy changes</w:t>
      </w:r>
      <w:r w:rsidR="00F45762" w:rsidRPr="00EA7D99">
        <w:rPr>
          <w:color w:val="444444"/>
        </w:rPr>
        <w:t xml:space="preserve"> and </w:t>
      </w:r>
      <w:r w:rsidR="00441FC1">
        <w:rPr>
          <w:color w:val="444444"/>
        </w:rPr>
        <w:t xml:space="preserve">the </w:t>
      </w:r>
      <w:r w:rsidR="00441FC1" w:rsidRPr="00EA7D99">
        <w:rPr>
          <w:color w:val="444444"/>
        </w:rPr>
        <w:t>moderniz</w:t>
      </w:r>
      <w:r w:rsidR="00441FC1">
        <w:rPr>
          <w:color w:val="444444"/>
        </w:rPr>
        <w:t>ation of</w:t>
      </w:r>
      <w:r w:rsidR="00441FC1" w:rsidRPr="00EA7D99">
        <w:rPr>
          <w:color w:val="444444"/>
        </w:rPr>
        <w:t xml:space="preserve"> </w:t>
      </w:r>
      <w:r w:rsidR="003D7770" w:rsidRPr="00EA7D99">
        <w:rPr>
          <w:color w:val="444444"/>
        </w:rPr>
        <w:t>the existing framework</w:t>
      </w:r>
      <w:r w:rsidR="002440AA" w:rsidRPr="00EA7D99">
        <w:rPr>
          <w:color w:val="444444"/>
        </w:rPr>
        <w:t xml:space="preserve">. </w:t>
      </w:r>
    </w:p>
    <w:p w14:paraId="7D128C6E" w14:textId="42F6CFD8" w:rsidR="00BE31A4" w:rsidRPr="00EA7D99" w:rsidRDefault="00A31058" w:rsidP="00EA7D99">
      <w:pPr>
        <w:pStyle w:val="NormalWeb"/>
        <w:shd w:val="clear" w:color="auto" w:fill="FFFFFF"/>
        <w:spacing w:before="0" w:beforeAutospacing="0" w:line="276" w:lineRule="auto"/>
      </w:pPr>
      <w:r w:rsidRPr="00EA7D99">
        <w:t xml:space="preserve">At </w:t>
      </w:r>
      <w:r w:rsidR="00794DC7" w:rsidRPr="00EA7D99">
        <w:t xml:space="preserve">a time when </w:t>
      </w:r>
      <w:r w:rsidRPr="00EA7D99">
        <w:t>community banks face increasing</w:t>
      </w:r>
      <w:r w:rsidR="00794DC7" w:rsidRPr="00EA7D99">
        <w:t xml:space="preserve"> pressures of regulatory compliance</w:t>
      </w:r>
      <w:r w:rsidR="007402D6" w:rsidRPr="00EA7D99">
        <w:t xml:space="preserve"> </w:t>
      </w:r>
      <w:r w:rsidR="008E017D" w:rsidRPr="00EA7D99">
        <w:t xml:space="preserve">while squaring off against </w:t>
      </w:r>
      <w:r w:rsidR="00286035" w:rsidRPr="00EA7D99">
        <w:t>competitors with far less regulatory scrutiny</w:t>
      </w:r>
      <w:r w:rsidR="007562CD">
        <w:t>,</w:t>
      </w:r>
      <w:r w:rsidRPr="00EA7D99">
        <w:t xml:space="preserve"> c</w:t>
      </w:r>
      <w:r w:rsidR="00286035" w:rsidRPr="00EA7D99">
        <w:t>ommunity banks</w:t>
      </w:r>
      <w:r w:rsidR="00F45762" w:rsidRPr="00EA7D99">
        <w:t xml:space="preserve"> should be permitted to scale up and compete without undue scrutiny </w:t>
      </w:r>
      <w:r w:rsidR="007562CD">
        <w:t>or</w:t>
      </w:r>
      <w:r w:rsidR="007562CD" w:rsidRPr="00EA7D99">
        <w:t xml:space="preserve"> </w:t>
      </w:r>
      <w:r w:rsidR="00F45762" w:rsidRPr="00EA7D99">
        <w:t>restrictions on merger activities caused by an outdated merger framework.</w:t>
      </w:r>
      <w:r w:rsidR="009470EE" w:rsidRPr="00EA7D99">
        <w:t xml:space="preserve"> It’s an issue of fair competition</w:t>
      </w:r>
      <w:r w:rsidR="007176BC">
        <w:t>—</w:t>
      </w:r>
      <w:r w:rsidR="009470EE" w:rsidRPr="00EA7D99">
        <w:t xml:space="preserve">one </w:t>
      </w:r>
      <w:r w:rsidR="000244AF" w:rsidRPr="00EA7D99">
        <w:t xml:space="preserve">that preserves consumer choice and access to </w:t>
      </w:r>
      <w:r w:rsidRPr="00EA7D99">
        <w:t xml:space="preserve">community banks that are vital to local economies throughout the nation. </w:t>
      </w:r>
    </w:p>
    <w:p w14:paraId="0C50499A" w14:textId="5A77A253" w:rsidR="00F45762" w:rsidRDefault="00BE31A4" w:rsidP="00EA7D99">
      <w:pPr>
        <w:pStyle w:val="NormalWeb"/>
        <w:shd w:val="clear" w:color="auto" w:fill="FFFFFF"/>
        <w:spacing w:before="0" w:beforeAutospacing="0" w:line="276" w:lineRule="auto"/>
      </w:pPr>
      <w:r w:rsidRPr="00EA7D99">
        <w:t xml:space="preserve">ICBA will </w:t>
      </w:r>
      <w:r w:rsidR="009B1394" w:rsidRPr="00EA7D99">
        <w:t xml:space="preserve">continue to closely monitor progress on this issue and </w:t>
      </w:r>
      <w:r w:rsidRPr="00EA7D99">
        <w:t>remain a strong advocate for revising the M&amp;A framework in a way that strengthens the community banking industry and Main Street America</w:t>
      </w:r>
      <w:r w:rsidR="009B1394" w:rsidRPr="00EA7D99">
        <w:t>.</w:t>
      </w:r>
      <w:r w:rsidR="00F45762" w:rsidRPr="00EA7D99">
        <w:t xml:space="preserve"> </w:t>
      </w:r>
    </w:p>
    <w:p w14:paraId="41B5E7AB" w14:textId="77777777" w:rsidR="007562CD" w:rsidRDefault="007562CD" w:rsidP="00EA7D99">
      <w:pPr>
        <w:pStyle w:val="NormalWeb"/>
        <w:shd w:val="clear" w:color="auto" w:fill="FFFFFF"/>
        <w:spacing w:before="0" w:beforeAutospacing="0" w:line="276" w:lineRule="auto"/>
      </w:pPr>
    </w:p>
    <w:p w14:paraId="7BC68F31" w14:textId="7EAD9BC9" w:rsidR="007562CD" w:rsidRPr="00EA7D99" w:rsidRDefault="007562CD" w:rsidP="00EA7D99">
      <w:pPr>
        <w:pStyle w:val="NormalWeb"/>
        <w:shd w:val="clear" w:color="auto" w:fill="FFFFFF"/>
        <w:spacing w:before="0" w:beforeAutospacing="0" w:line="276" w:lineRule="auto"/>
        <w:rPr>
          <w:color w:val="444444"/>
        </w:rPr>
      </w:pPr>
      <w:r>
        <w:t xml:space="preserve">Jenna Burke is </w:t>
      </w:r>
      <w:r w:rsidR="008E6001">
        <w:t>ICBA’s executive vice president and general counsel, government relations &amp; public policy</w:t>
      </w:r>
    </w:p>
    <w:p w14:paraId="33516B84" w14:textId="4E8D9C84" w:rsidR="000E631D" w:rsidRDefault="00A75AE2" w:rsidP="00EA7D9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[ends]</w:t>
      </w:r>
    </w:p>
    <w:p w14:paraId="0F05FC53" w14:textId="77777777" w:rsidR="007562CD" w:rsidRDefault="007562CD" w:rsidP="00EA7D99">
      <w:pPr>
        <w:spacing w:line="276" w:lineRule="auto"/>
        <w:rPr>
          <w:rFonts w:ascii="Times New Roman" w:hAnsi="Times New Roman" w:cs="Times New Roman"/>
        </w:rPr>
      </w:pPr>
    </w:p>
    <w:p w14:paraId="48DF969D" w14:textId="5DB1B2BF" w:rsidR="00A75AE2" w:rsidRDefault="00A75AE2" w:rsidP="00EA7D9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[pull quote]</w:t>
      </w:r>
    </w:p>
    <w:p w14:paraId="3268E056" w14:textId="1FB41869" w:rsidR="007562CD" w:rsidRPr="00EA7D99" w:rsidRDefault="007562CD" w:rsidP="007562CD">
      <w:pPr>
        <w:pStyle w:val="NormalWeb"/>
        <w:shd w:val="clear" w:color="auto" w:fill="FFFFFF"/>
        <w:spacing w:before="0" w:beforeAutospacing="0" w:line="276" w:lineRule="auto"/>
      </w:pPr>
      <w:r w:rsidRPr="00EA7D99">
        <w:rPr>
          <w:color w:val="444444"/>
        </w:rPr>
        <w:t xml:space="preserve">As the DOJ and banking agencies reevaluate the current, restrictive M&amp;A framework, ICBA will continue to urge the adoption of </w:t>
      </w:r>
      <w:r w:rsidR="00441FC1">
        <w:rPr>
          <w:color w:val="444444"/>
        </w:rPr>
        <w:t>…</w:t>
      </w:r>
      <w:r w:rsidR="00441FC1" w:rsidRPr="00EA7D99">
        <w:rPr>
          <w:color w:val="444444"/>
        </w:rPr>
        <w:t xml:space="preserve"> </w:t>
      </w:r>
      <w:r w:rsidRPr="00EA7D99">
        <w:rPr>
          <w:color w:val="444444"/>
        </w:rPr>
        <w:t xml:space="preserve">policy changes and </w:t>
      </w:r>
      <w:r w:rsidR="00441FC1">
        <w:rPr>
          <w:color w:val="444444"/>
        </w:rPr>
        <w:t xml:space="preserve">the </w:t>
      </w:r>
      <w:r w:rsidR="00441FC1" w:rsidRPr="00EA7D99">
        <w:rPr>
          <w:color w:val="444444"/>
        </w:rPr>
        <w:t>moderniz</w:t>
      </w:r>
      <w:r w:rsidR="00441FC1">
        <w:rPr>
          <w:color w:val="444444"/>
        </w:rPr>
        <w:t>ation of</w:t>
      </w:r>
      <w:r w:rsidR="00441FC1" w:rsidRPr="00EA7D99">
        <w:rPr>
          <w:color w:val="444444"/>
        </w:rPr>
        <w:t xml:space="preserve"> </w:t>
      </w:r>
      <w:r w:rsidRPr="00EA7D99">
        <w:rPr>
          <w:color w:val="444444"/>
        </w:rPr>
        <w:t xml:space="preserve">the existing framework. </w:t>
      </w:r>
    </w:p>
    <w:p w14:paraId="2AB01D03" w14:textId="77777777" w:rsidR="007562CD" w:rsidRPr="00EA7D99" w:rsidRDefault="007562CD" w:rsidP="00EA7D99">
      <w:pPr>
        <w:spacing w:line="276" w:lineRule="auto"/>
        <w:rPr>
          <w:rFonts w:ascii="Times New Roman" w:hAnsi="Times New Roman" w:cs="Times New Roman"/>
        </w:rPr>
      </w:pPr>
    </w:p>
    <w:sectPr w:rsidR="007562CD" w:rsidRPr="00EA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2F5"/>
    <w:multiLevelType w:val="hybridMultilevel"/>
    <w:tmpl w:val="78E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4C1C"/>
    <w:multiLevelType w:val="hybridMultilevel"/>
    <w:tmpl w:val="101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67438">
    <w:abstractNumId w:val="1"/>
  </w:num>
  <w:num w:numId="2" w16cid:durableId="206729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28"/>
    <w:rsid w:val="0002396F"/>
    <w:rsid w:val="000244AF"/>
    <w:rsid w:val="00037397"/>
    <w:rsid w:val="00061719"/>
    <w:rsid w:val="000621AF"/>
    <w:rsid w:val="00070F1E"/>
    <w:rsid w:val="00081698"/>
    <w:rsid w:val="000832A3"/>
    <w:rsid w:val="000A4385"/>
    <w:rsid w:val="000D5B54"/>
    <w:rsid w:val="000E631D"/>
    <w:rsid w:val="00105E66"/>
    <w:rsid w:val="0011152F"/>
    <w:rsid w:val="001602ED"/>
    <w:rsid w:val="00166662"/>
    <w:rsid w:val="001B40B3"/>
    <w:rsid w:val="001D4DDB"/>
    <w:rsid w:val="00211743"/>
    <w:rsid w:val="00211A43"/>
    <w:rsid w:val="00211CE4"/>
    <w:rsid w:val="0023687E"/>
    <w:rsid w:val="002440AA"/>
    <w:rsid w:val="00261B6A"/>
    <w:rsid w:val="00275B35"/>
    <w:rsid w:val="00285A50"/>
    <w:rsid w:val="00286035"/>
    <w:rsid w:val="002948F3"/>
    <w:rsid w:val="00295035"/>
    <w:rsid w:val="002A7543"/>
    <w:rsid w:val="002B18D5"/>
    <w:rsid w:val="002C4693"/>
    <w:rsid w:val="002D57BE"/>
    <w:rsid w:val="00301A27"/>
    <w:rsid w:val="00301D0F"/>
    <w:rsid w:val="003036AB"/>
    <w:rsid w:val="00306F05"/>
    <w:rsid w:val="003629FD"/>
    <w:rsid w:val="0036692D"/>
    <w:rsid w:val="00380FD4"/>
    <w:rsid w:val="00395013"/>
    <w:rsid w:val="003C0281"/>
    <w:rsid w:val="003C3976"/>
    <w:rsid w:val="003C6DD6"/>
    <w:rsid w:val="003D7770"/>
    <w:rsid w:val="003E29EE"/>
    <w:rsid w:val="00410A11"/>
    <w:rsid w:val="00411C83"/>
    <w:rsid w:val="00437EA4"/>
    <w:rsid w:val="00441FC1"/>
    <w:rsid w:val="00472B52"/>
    <w:rsid w:val="00483ECF"/>
    <w:rsid w:val="0049242D"/>
    <w:rsid w:val="004F3E1E"/>
    <w:rsid w:val="0050299D"/>
    <w:rsid w:val="00510E4C"/>
    <w:rsid w:val="00526979"/>
    <w:rsid w:val="00535636"/>
    <w:rsid w:val="0055182C"/>
    <w:rsid w:val="00557F32"/>
    <w:rsid w:val="00566593"/>
    <w:rsid w:val="005C4B62"/>
    <w:rsid w:val="0062642A"/>
    <w:rsid w:val="00674F33"/>
    <w:rsid w:val="006B78AA"/>
    <w:rsid w:val="006C4D0F"/>
    <w:rsid w:val="006F0C5D"/>
    <w:rsid w:val="00710276"/>
    <w:rsid w:val="00711A22"/>
    <w:rsid w:val="007176BC"/>
    <w:rsid w:val="007402D6"/>
    <w:rsid w:val="007562CD"/>
    <w:rsid w:val="00794DC7"/>
    <w:rsid w:val="00816405"/>
    <w:rsid w:val="008412C3"/>
    <w:rsid w:val="008478CD"/>
    <w:rsid w:val="00895E7D"/>
    <w:rsid w:val="00896726"/>
    <w:rsid w:val="008E017D"/>
    <w:rsid w:val="008E6001"/>
    <w:rsid w:val="009018EB"/>
    <w:rsid w:val="00907A9C"/>
    <w:rsid w:val="009379DE"/>
    <w:rsid w:val="009470EE"/>
    <w:rsid w:val="00951D6B"/>
    <w:rsid w:val="009557E7"/>
    <w:rsid w:val="0098218C"/>
    <w:rsid w:val="009B1394"/>
    <w:rsid w:val="00A25B1A"/>
    <w:rsid w:val="00A31058"/>
    <w:rsid w:val="00A75AE2"/>
    <w:rsid w:val="00A813E2"/>
    <w:rsid w:val="00A83DA5"/>
    <w:rsid w:val="00A849C8"/>
    <w:rsid w:val="00AA15BD"/>
    <w:rsid w:val="00AF2569"/>
    <w:rsid w:val="00B20E89"/>
    <w:rsid w:val="00B55C0E"/>
    <w:rsid w:val="00B66C0C"/>
    <w:rsid w:val="00B92713"/>
    <w:rsid w:val="00BB5DFE"/>
    <w:rsid w:val="00BC1B28"/>
    <w:rsid w:val="00BC5B87"/>
    <w:rsid w:val="00BE31A4"/>
    <w:rsid w:val="00BF3742"/>
    <w:rsid w:val="00C34C65"/>
    <w:rsid w:val="00C41834"/>
    <w:rsid w:val="00C41DF1"/>
    <w:rsid w:val="00C454E3"/>
    <w:rsid w:val="00C5723F"/>
    <w:rsid w:val="00C63360"/>
    <w:rsid w:val="00C754FB"/>
    <w:rsid w:val="00C851AF"/>
    <w:rsid w:val="00C97BF7"/>
    <w:rsid w:val="00CD3A28"/>
    <w:rsid w:val="00CD613A"/>
    <w:rsid w:val="00D01079"/>
    <w:rsid w:val="00D328D0"/>
    <w:rsid w:val="00D44665"/>
    <w:rsid w:val="00D75240"/>
    <w:rsid w:val="00D75D43"/>
    <w:rsid w:val="00D94FA8"/>
    <w:rsid w:val="00DA5C6D"/>
    <w:rsid w:val="00DC546C"/>
    <w:rsid w:val="00DD7060"/>
    <w:rsid w:val="00E17A44"/>
    <w:rsid w:val="00E73306"/>
    <w:rsid w:val="00E74B66"/>
    <w:rsid w:val="00EA2DD7"/>
    <w:rsid w:val="00EA7D99"/>
    <w:rsid w:val="00EC128F"/>
    <w:rsid w:val="00F4146B"/>
    <w:rsid w:val="00F43CE6"/>
    <w:rsid w:val="00F45762"/>
    <w:rsid w:val="00F63631"/>
    <w:rsid w:val="00FA4534"/>
    <w:rsid w:val="00FA5545"/>
    <w:rsid w:val="00FB0BD5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F882"/>
  <w15:chartTrackingRefBased/>
  <w15:docId w15:val="{E0A11CD4-29D8-44B8-AE6D-BBBE9960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81698"/>
    <w:rPr>
      <w:b/>
      <w:bCs/>
    </w:rPr>
  </w:style>
  <w:style w:type="paragraph" w:styleId="Revision">
    <w:name w:val="Revision"/>
    <w:hidden/>
    <w:uiPriority w:val="99"/>
    <w:semiHidden/>
    <w:rsid w:val="00C34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Rachel Hatcher</cp:lastModifiedBy>
  <cp:revision>5</cp:revision>
  <dcterms:created xsi:type="dcterms:W3CDTF">2023-08-02T21:14:00Z</dcterms:created>
  <dcterms:modified xsi:type="dcterms:W3CDTF">2023-08-21T17:15:00Z</dcterms:modified>
</cp:coreProperties>
</file>