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AF42C" w14:textId="3431CF62" w:rsidR="0040779B" w:rsidRDefault="0040779B" w:rsidP="0040779B">
      <w:pPr>
        <w:pStyle w:val="NormalWeb"/>
        <w:shd w:val="clear" w:color="auto" w:fill="FFFFFF"/>
        <w:spacing w:before="0" w:beforeAutospacing="0" w:line="276" w:lineRule="auto"/>
      </w:pPr>
      <w:r>
        <w:t>Independent Banker</w:t>
      </w:r>
      <w:r>
        <w:br/>
        <w:t>October 2023</w:t>
      </w:r>
      <w:r>
        <w:br/>
        <w:t>Portfolio</w:t>
      </w:r>
    </w:p>
    <w:p w14:paraId="3CD047CF" w14:textId="23137CD6" w:rsidR="0040779B" w:rsidRDefault="0040779B" w:rsidP="0040779B">
      <w:pPr>
        <w:pStyle w:val="NormalWeb"/>
        <w:shd w:val="clear" w:color="auto" w:fill="FFFFFF"/>
        <w:spacing w:before="0" w:beforeAutospacing="0" w:line="276" w:lineRule="auto"/>
      </w:pPr>
      <w:r>
        <w:t>[tag] Checks and Balances</w:t>
      </w:r>
    </w:p>
    <w:p w14:paraId="4CEF3AC0" w14:textId="3725E31D" w:rsidR="005477EA" w:rsidRDefault="0040779B" w:rsidP="0040779B">
      <w:pPr>
        <w:pStyle w:val="NormalWeb"/>
        <w:shd w:val="clear" w:color="auto" w:fill="FFFFFF"/>
        <w:spacing w:before="0" w:beforeAutospacing="0" w:line="276" w:lineRule="auto"/>
      </w:pPr>
      <w:r>
        <w:t xml:space="preserve">[hed] </w:t>
      </w:r>
      <w:r w:rsidR="00FC2A05" w:rsidRPr="0040779B">
        <w:t xml:space="preserve">ICBA Avengers </w:t>
      </w:r>
      <w:r w:rsidR="002839E8">
        <w:t>u</w:t>
      </w:r>
      <w:r w:rsidR="00FC2A05" w:rsidRPr="0040779B">
        <w:t xml:space="preserve">nite: Basel III Endgame </w:t>
      </w:r>
      <w:r w:rsidR="002839E8">
        <w:t>p</w:t>
      </w:r>
      <w:r w:rsidR="00FC2A05" w:rsidRPr="0040779B">
        <w:t xml:space="preserve">roposals </w:t>
      </w:r>
      <w:r w:rsidR="002839E8">
        <w:t>t</w:t>
      </w:r>
      <w:r w:rsidR="00FC2A05" w:rsidRPr="0040779B">
        <w:t xml:space="preserve">argeted at </w:t>
      </w:r>
      <w:r w:rsidR="002839E8">
        <w:t>l</w:t>
      </w:r>
      <w:r w:rsidR="00FC2A05" w:rsidRPr="0040779B">
        <w:t xml:space="preserve">arge </w:t>
      </w:r>
      <w:r w:rsidR="002839E8">
        <w:t>b</w:t>
      </w:r>
      <w:r w:rsidR="00FC2A05" w:rsidRPr="0040779B">
        <w:t>anks</w:t>
      </w:r>
    </w:p>
    <w:p w14:paraId="2E4C52BC" w14:textId="1530CC1E" w:rsidR="0040779B" w:rsidRPr="0040779B" w:rsidRDefault="0040779B" w:rsidP="0040779B">
      <w:pPr>
        <w:pStyle w:val="NormalWeb"/>
        <w:shd w:val="clear" w:color="auto" w:fill="FFFFFF"/>
        <w:spacing w:before="0" w:beforeAutospacing="0" w:line="276" w:lineRule="auto"/>
      </w:pPr>
      <w:r>
        <w:t>[dek]</w:t>
      </w:r>
      <w:r w:rsidR="002839E8">
        <w:t xml:space="preserve"> With legislation like the </w:t>
      </w:r>
      <w:r w:rsidR="002839E8" w:rsidRPr="0040779B">
        <w:t>Interagency Proposal to Amend Regulatory Capital Requirements for Large Banks</w:t>
      </w:r>
      <w:r w:rsidR="002839E8">
        <w:t>, it’s as important as ever for community bankers to share their opinions on why “too</w:t>
      </w:r>
      <w:r w:rsidR="00E46BEF">
        <w:t xml:space="preserve"> </w:t>
      </w:r>
      <w:r w:rsidR="002839E8">
        <w:t>big</w:t>
      </w:r>
      <w:r w:rsidR="00E46BEF">
        <w:t xml:space="preserve"> </w:t>
      </w:r>
      <w:r w:rsidR="002839E8">
        <w:t>to</w:t>
      </w:r>
      <w:r w:rsidR="00E46BEF">
        <w:t xml:space="preserve"> </w:t>
      </w:r>
      <w:r w:rsidR="002839E8">
        <w:t xml:space="preserve">fail” banks and community banks should </w:t>
      </w:r>
      <w:r w:rsidR="00E46BEF">
        <w:t>be regulated differently</w:t>
      </w:r>
      <w:r w:rsidR="002839E8">
        <w:t>.</w:t>
      </w:r>
    </w:p>
    <w:p w14:paraId="240918AC" w14:textId="45C0E47F" w:rsidR="00FC2A05" w:rsidRDefault="0040779B" w:rsidP="0040779B">
      <w:pPr>
        <w:pStyle w:val="NormalWeb"/>
        <w:shd w:val="clear" w:color="auto" w:fill="FFFFFF"/>
        <w:spacing w:before="0" w:beforeAutospacing="0" w:line="276" w:lineRule="auto"/>
      </w:pPr>
      <w:r>
        <w:t xml:space="preserve">[byline] </w:t>
      </w:r>
      <w:r w:rsidR="00FC2A05" w:rsidRPr="0040779B">
        <w:t>By Chris Cole</w:t>
      </w:r>
    </w:p>
    <w:p w14:paraId="7BB19571" w14:textId="4679D3DE" w:rsidR="0040779B" w:rsidRPr="0040779B" w:rsidRDefault="0040779B" w:rsidP="0040779B">
      <w:pPr>
        <w:pStyle w:val="NormalWeb"/>
        <w:shd w:val="clear" w:color="auto" w:fill="FFFFFF"/>
        <w:spacing w:before="0" w:beforeAutospacing="0" w:line="276" w:lineRule="auto"/>
      </w:pPr>
      <w:r>
        <w:t>[body]</w:t>
      </w:r>
    </w:p>
    <w:p w14:paraId="3E6EC02B" w14:textId="0C136741" w:rsidR="002F76CB" w:rsidRPr="0040779B" w:rsidRDefault="002F76CB" w:rsidP="0040779B">
      <w:pPr>
        <w:pStyle w:val="NormalWeb"/>
        <w:shd w:val="clear" w:color="auto" w:fill="FFFFFF"/>
        <w:spacing w:before="0" w:beforeAutospacing="0" w:line="276" w:lineRule="auto"/>
      </w:pPr>
      <w:r w:rsidRPr="0040779B">
        <w:t>ICBA’s efforts to encourage policymakers to differentiate community banks from larger institutions when proposing regulations is paying dividends</w:t>
      </w:r>
      <w:r w:rsidR="0040779B">
        <w:t>—</w:t>
      </w:r>
      <w:r w:rsidRPr="0040779B">
        <w:t>and the proposed “Basel III Endgame” is proof</w:t>
      </w:r>
      <w:r w:rsidR="00A46033" w:rsidRPr="0040779B">
        <w:t xml:space="preserve"> positive</w:t>
      </w:r>
      <w:r w:rsidRPr="0040779B">
        <w:t>.</w:t>
      </w:r>
    </w:p>
    <w:p w14:paraId="2F67C78D" w14:textId="42A8C8D1" w:rsidR="00A46033" w:rsidRPr="0040779B" w:rsidRDefault="00474D91" w:rsidP="0040779B">
      <w:pPr>
        <w:pStyle w:val="NormalWeb"/>
        <w:shd w:val="clear" w:color="auto" w:fill="FFFFFF"/>
        <w:spacing w:before="0" w:beforeAutospacing="0" w:line="276" w:lineRule="auto"/>
      </w:pPr>
      <w:r w:rsidRPr="0040779B">
        <w:t>For years, ICBA has effectively highlighted the difference between community banks and those traditionally viewed as “too</w:t>
      </w:r>
      <w:r w:rsidR="00E46BEF">
        <w:t xml:space="preserve"> </w:t>
      </w:r>
      <w:r w:rsidRPr="0040779B">
        <w:t>big</w:t>
      </w:r>
      <w:r w:rsidR="00E46BEF">
        <w:t xml:space="preserve"> </w:t>
      </w:r>
      <w:r w:rsidRPr="0040779B">
        <w:t>to</w:t>
      </w:r>
      <w:r w:rsidR="00E46BEF">
        <w:t xml:space="preserve"> </w:t>
      </w:r>
      <w:r w:rsidRPr="0040779B">
        <w:t xml:space="preserve">fail” banks. </w:t>
      </w:r>
      <w:r w:rsidR="00F27351" w:rsidRPr="0040779B">
        <w:t xml:space="preserve">Even before </w:t>
      </w:r>
      <w:r w:rsidRPr="0040779B">
        <w:t>the failure of Silicon Valley Bank</w:t>
      </w:r>
      <w:r w:rsidR="0040779B">
        <w:t xml:space="preserve"> (SVB)</w:t>
      </w:r>
      <w:r w:rsidRPr="0040779B">
        <w:t xml:space="preserve"> in March, </w:t>
      </w:r>
      <w:r w:rsidR="00115247" w:rsidRPr="0040779B">
        <w:t xml:space="preserve">ICBA </w:t>
      </w:r>
      <w:r w:rsidR="00A82828" w:rsidRPr="0040779B">
        <w:t xml:space="preserve">led the community banking industry in its campaign to </w:t>
      </w:r>
      <w:r w:rsidR="002F2846" w:rsidRPr="0040779B">
        <w:t xml:space="preserve">show how community banks serving local communities are vastly different from </w:t>
      </w:r>
      <w:r w:rsidR="00347683" w:rsidRPr="0040779B">
        <w:t>large, super</w:t>
      </w:r>
      <w:r w:rsidR="0040779B">
        <w:t>-</w:t>
      </w:r>
      <w:r w:rsidR="00347683" w:rsidRPr="0040779B">
        <w:t xml:space="preserve">regional </w:t>
      </w:r>
      <w:r w:rsidR="00E46BEF">
        <w:t xml:space="preserve">or national </w:t>
      </w:r>
      <w:r w:rsidR="00347683" w:rsidRPr="0040779B">
        <w:t xml:space="preserve">banks. </w:t>
      </w:r>
    </w:p>
    <w:p w14:paraId="5E1336F7" w14:textId="602CE2E6" w:rsidR="001F7F84" w:rsidRPr="0040779B" w:rsidRDefault="005F4C6E" w:rsidP="0040779B">
      <w:pPr>
        <w:pStyle w:val="NormalWeb"/>
        <w:shd w:val="clear" w:color="auto" w:fill="FFFFFF"/>
        <w:spacing w:before="0" w:beforeAutospacing="0" w:line="276" w:lineRule="auto"/>
      </w:pPr>
      <w:r w:rsidRPr="0040779B">
        <w:t>In a post</w:t>
      </w:r>
      <w:r w:rsidR="006B15A2" w:rsidRPr="0040779B">
        <w:t>-SVB world, this mission has taken on increasing importance as policymakers look to shore up oversight of these institution</w:t>
      </w:r>
      <w:r w:rsidR="00FF7421" w:rsidRPr="0040779B">
        <w:t xml:space="preserve">s. </w:t>
      </w:r>
      <w:r w:rsidR="00CD366C" w:rsidRPr="0040779B">
        <w:t xml:space="preserve">As they reconsider capital standards and the impact </w:t>
      </w:r>
      <w:r w:rsidR="001343AB" w:rsidRPr="0040779B">
        <w:t xml:space="preserve">a potential failure could have on the financial system, </w:t>
      </w:r>
      <w:r w:rsidR="004962C4" w:rsidRPr="0040779B">
        <w:t>new rulemaking and guidance is on the horizon</w:t>
      </w:r>
      <w:r w:rsidR="0040779B">
        <w:t>—</w:t>
      </w:r>
      <w:r w:rsidR="00AE6B1A" w:rsidRPr="0040779B">
        <w:t>and ICBA is speaking out for community banks to ensure they are not subject to new onerous capital rules</w:t>
      </w:r>
      <w:r w:rsidR="001F7F84" w:rsidRPr="0040779B">
        <w:t>.</w:t>
      </w:r>
    </w:p>
    <w:p w14:paraId="14E4C76B" w14:textId="1D99736A" w:rsidR="00C531CF" w:rsidRPr="0040779B" w:rsidRDefault="00C531CF" w:rsidP="0040779B">
      <w:pPr>
        <w:pStyle w:val="NormalWeb"/>
        <w:shd w:val="clear" w:color="auto" w:fill="FFFFFF"/>
        <w:spacing w:before="0" w:beforeAutospacing="0" w:line="276" w:lineRule="auto"/>
      </w:pPr>
      <w:r w:rsidRPr="0040779B">
        <w:t xml:space="preserve">Community banks have many high-ranking allies on this front. Federal Reserve </w:t>
      </w:r>
      <w:r w:rsidR="0040779B">
        <w:t>c</w:t>
      </w:r>
      <w:r w:rsidRPr="0040779B">
        <w:t>hairman Jerome Powell, Federal Deposit Insurance Corp.</w:t>
      </w:r>
      <w:r w:rsidR="00E46BEF">
        <w:t xml:space="preserve"> (FDIC)</w:t>
      </w:r>
      <w:r w:rsidRPr="0040779B">
        <w:t xml:space="preserve"> </w:t>
      </w:r>
      <w:r w:rsidR="0040779B">
        <w:t>c</w:t>
      </w:r>
      <w:r w:rsidRPr="0040779B">
        <w:t>hairman Martin Gruenberg, Fed</w:t>
      </w:r>
      <w:r w:rsidR="00E46BEF">
        <w:t>eral Reserve</w:t>
      </w:r>
      <w:r w:rsidRPr="0040779B">
        <w:t xml:space="preserve"> </w:t>
      </w:r>
      <w:r w:rsidR="0040779B">
        <w:t>g</w:t>
      </w:r>
      <w:r w:rsidRPr="0040779B">
        <w:t xml:space="preserve">overnor Michelle Bowman and </w:t>
      </w:r>
      <w:r w:rsidR="00E46BEF">
        <w:t>Fed</w:t>
      </w:r>
      <w:r w:rsidRPr="0040779B">
        <w:t xml:space="preserve"> </w:t>
      </w:r>
      <w:r w:rsidR="0040779B">
        <w:t>v</w:t>
      </w:r>
      <w:r w:rsidRPr="0040779B">
        <w:t xml:space="preserve">ice </w:t>
      </w:r>
      <w:r w:rsidR="0040779B">
        <w:t>c</w:t>
      </w:r>
      <w:r w:rsidRPr="0040779B">
        <w:t xml:space="preserve">hair of </w:t>
      </w:r>
      <w:r w:rsidR="0040779B">
        <w:t>s</w:t>
      </w:r>
      <w:r w:rsidRPr="0040779B">
        <w:t xml:space="preserve">upervision Michael Barr have all publicly stated that new regulatory capital </w:t>
      </w:r>
      <w:r w:rsidR="00322BF6" w:rsidRPr="0040779B">
        <w:t xml:space="preserve">and debt requirements </w:t>
      </w:r>
      <w:r w:rsidRPr="0040779B">
        <w:t>should not affect community banks.</w:t>
      </w:r>
      <w:r w:rsidR="0083586F" w:rsidRPr="0040779B">
        <w:t xml:space="preserve"> ICBA commends each of th</w:t>
      </w:r>
      <w:r w:rsidR="00B11346" w:rsidRPr="0040779B">
        <w:t>ese</w:t>
      </w:r>
      <w:r w:rsidR="0083586F" w:rsidRPr="0040779B">
        <w:t xml:space="preserve"> leaders </w:t>
      </w:r>
      <w:r w:rsidR="00197432" w:rsidRPr="0040779B">
        <w:t>for their pragmatic approach.</w:t>
      </w:r>
    </w:p>
    <w:p w14:paraId="0BE1AC74" w14:textId="105F9AAF" w:rsidR="001D640F" w:rsidRDefault="00197432" w:rsidP="0040779B">
      <w:pPr>
        <w:pStyle w:val="NormalWeb"/>
        <w:shd w:val="clear" w:color="auto" w:fill="FFFFFF"/>
        <w:spacing w:before="0" w:beforeAutospacing="0" w:line="276" w:lineRule="auto"/>
      </w:pPr>
      <w:r w:rsidRPr="0040779B">
        <w:t>Support from policymakers</w:t>
      </w:r>
      <w:r w:rsidR="003E21DB" w:rsidRPr="0040779B">
        <w:t xml:space="preserve"> has been key in ensuring any regulatory change in this area</w:t>
      </w:r>
      <w:r w:rsidR="00012E47" w:rsidRPr="0040779B">
        <w:t xml:space="preserve"> focus</w:t>
      </w:r>
      <w:r w:rsidR="003E21DB" w:rsidRPr="0040779B">
        <w:t>es</w:t>
      </w:r>
      <w:r w:rsidR="00012E47" w:rsidRPr="0040779B">
        <w:t xml:space="preserve"> exclusively on </w:t>
      </w:r>
      <w:r w:rsidR="003E21DB" w:rsidRPr="0040779B">
        <w:t>large banks</w:t>
      </w:r>
      <w:r w:rsidR="00012E47" w:rsidRPr="0040779B">
        <w:t xml:space="preserve">. </w:t>
      </w:r>
      <w:r w:rsidR="003F1A59" w:rsidRPr="0040779B">
        <w:t xml:space="preserve">Of the three related proposals released </w:t>
      </w:r>
      <w:r w:rsidR="003E2024" w:rsidRPr="0040779B">
        <w:t xml:space="preserve">by the Office of the Comptroller of the Currency (OCC), </w:t>
      </w:r>
      <w:r w:rsidR="00E46BEF">
        <w:t xml:space="preserve">the </w:t>
      </w:r>
      <w:r w:rsidR="003E2024" w:rsidRPr="0040779B">
        <w:t xml:space="preserve">FDIC and </w:t>
      </w:r>
      <w:r w:rsidR="00E46BEF">
        <w:t xml:space="preserve">the </w:t>
      </w:r>
      <w:r w:rsidR="003E2024" w:rsidRPr="0040779B">
        <w:t xml:space="preserve">Fed </w:t>
      </w:r>
      <w:r w:rsidR="003F1A59" w:rsidRPr="0040779B">
        <w:t xml:space="preserve">in July and August, all three limit </w:t>
      </w:r>
      <w:r w:rsidR="003F1A59" w:rsidRPr="0040779B">
        <w:lastRenderedPageBreak/>
        <w:t>their focus to institutions with $100 billion or more in assets (with</w:t>
      </w:r>
      <w:r w:rsidR="001D640F" w:rsidRPr="0040779B">
        <w:t xml:space="preserve"> one focused on institutions with $250 billion or more in assets).</w:t>
      </w:r>
    </w:p>
    <w:p w14:paraId="7BDF09A0" w14:textId="77777777" w:rsidR="00E46BEF" w:rsidRPr="0040779B" w:rsidRDefault="00E46BEF" w:rsidP="0040779B">
      <w:pPr>
        <w:pStyle w:val="NormalWeb"/>
        <w:shd w:val="clear" w:color="auto" w:fill="FFFFFF"/>
        <w:spacing w:before="0" w:beforeAutospacing="0" w:line="276" w:lineRule="auto"/>
      </w:pPr>
    </w:p>
    <w:p w14:paraId="7218362B" w14:textId="52932D29" w:rsidR="005F4C6E" w:rsidRPr="0040779B" w:rsidRDefault="0040779B" w:rsidP="0040779B">
      <w:pPr>
        <w:pStyle w:val="NormalWeb"/>
        <w:shd w:val="clear" w:color="auto" w:fill="FFFFFF"/>
        <w:spacing w:before="0" w:beforeAutospacing="0" w:line="276" w:lineRule="auto"/>
      </w:pPr>
      <w:r>
        <w:rPr>
          <w:b/>
          <w:bCs/>
        </w:rPr>
        <w:t xml:space="preserve">[subhed] </w:t>
      </w:r>
      <w:r w:rsidR="001D640F" w:rsidRPr="0040779B">
        <w:rPr>
          <w:b/>
          <w:bCs/>
        </w:rPr>
        <w:t xml:space="preserve">A </w:t>
      </w:r>
      <w:r w:rsidR="002839E8">
        <w:rPr>
          <w:b/>
          <w:bCs/>
        </w:rPr>
        <w:t>c</w:t>
      </w:r>
      <w:r w:rsidR="001D640F" w:rsidRPr="0040779B">
        <w:rPr>
          <w:b/>
          <w:bCs/>
        </w:rPr>
        <w:t xml:space="preserve">loser </w:t>
      </w:r>
      <w:r w:rsidR="002839E8">
        <w:rPr>
          <w:b/>
          <w:bCs/>
        </w:rPr>
        <w:t>l</w:t>
      </w:r>
      <w:r w:rsidR="001D640F" w:rsidRPr="0040779B">
        <w:rPr>
          <w:b/>
          <w:bCs/>
        </w:rPr>
        <w:t xml:space="preserve">ook at </w:t>
      </w:r>
      <w:r w:rsidR="002839E8">
        <w:rPr>
          <w:b/>
          <w:bCs/>
        </w:rPr>
        <w:t>l</w:t>
      </w:r>
      <w:r w:rsidR="00CC63DF" w:rsidRPr="0040779B">
        <w:rPr>
          <w:b/>
          <w:bCs/>
        </w:rPr>
        <w:t xml:space="preserve">arge </w:t>
      </w:r>
      <w:r w:rsidR="002839E8">
        <w:rPr>
          <w:b/>
          <w:bCs/>
        </w:rPr>
        <w:t>b</w:t>
      </w:r>
      <w:r w:rsidR="00CC63DF" w:rsidRPr="0040779B">
        <w:rPr>
          <w:b/>
          <w:bCs/>
        </w:rPr>
        <w:t>ank</w:t>
      </w:r>
      <w:r w:rsidR="001D640F" w:rsidRPr="0040779B">
        <w:rPr>
          <w:b/>
          <w:bCs/>
        </w:rPr>
        <w:t xml:space="preserve"> </w:t>
      </w:r>
      <w:r w:rsidR="002839E8">
        <w:rPr>
          <w:b/>
          <w:bCs/>
        </w:rPr>
        <w:t>p</w:t>
      </w:r>
      <w:r w:rsidR="001D640F" w:rsidRPr="0040779B">
        <w:rPr>
          <w:b/>
          <w:bCs/>
        </w:rPr>
        <w:t>roposals</w:t>
      </w:r>
      <w:r w:rsidR="00AE6B1A" w:rsidRPr="0040779B">
        <w:t xml:space="preserve"> </w:t>
      </w:r>
    </w:p>
    <w:p w14:paraId="0479522D" w14:textId="54E25892" w:rsidR="005728B5" w:rsidRPr="0040779B" w:rsidRDefault="003C4EC3" w:rsidP="0040779B">
      <w:pPr>
        <w:pStyle w:val="NormalWeb"/>
        <w:shd w:val="clear" w:color="auto" w:fill="FFFFFF"/>
        <w:spacing w:before="0" w:beforeAutospacing="0" w:line="276" w:lineRule="auto"/>
      </w:pPr>
      <w:r w:rsidRPr="0040779B">
        <w:rPr>
          <w:b/>
          <w:bCs/>
        </w:rPr>
        <w:t>Basel III Endgame</w:t>
      </w:r>
      <w:r w:rsidR="000E7033" w:rsidRPr="0040779B">
        <w:rPr>
          <w:b/>
          <w:bCs/>
        </w:rPr>
        <w:t>.</w:t>
      </w:r>
      <w:r w:rsidR="000E7033" w:rsidRPr="0040779B">
        <w:t xml:space="preserve"> </w:t>
      </w:r>
      <w:r w:rsidR="002F76CB" w:rsidRPr="0040779B">
        <w:t xml:space="preserve">In July, </w:t>
      </w:r>
      <w:r w:rsidR="003E2024" w:rsidRPr="0040779B">
        <w:t xml:space="preserve">the agencies </w:t>
      </w:r>
      <w:r w:rsidR="002F76CB" w:rsidRPr="0040779B">
        <w:t>released their Interagency Proposal to Amend Regulatory Capital Requirements for Large Banks</w:t>
      </w:r>
      <w:r w:rsidR="00C93FD6" w:rsidRPr="0040779B">
        <w:t xml:space="preserve"> (often referred to as Basel III Endgame)</w:t>
      </w:r>
      <w:r w:rsidR="000E7033" w:rsidRPr="0040779B">
        <w:t xml:space="preserve">. It would </w:t>
      </w:r>
      <w:r w:rsidR="00C93FD6" w:rsidRPr="0040779B">
        <w:t>make significant changes to the regulatory capital framework for U.S. banking organizations with $100 billion or more in assets or significant trading activity.</w:t>
      </w:r>
      <w:r w:rsidR="005728B5" w:rsidRPr="0040779B">
        <w:t xml:space="preserve"> The proposal would </w:t>
      </w:r>
      <w:r w:rsidR="00A63730" w:rsidRPr="0040779B">
        <w:t xml:space="preserve">also </w:t>
      </w:r>
      <w:r w:rsidR="005728B5" w:rsidRPr="0040779B">
        <w:t xml:space="preserve">ensure the capital requirements applicable to large banking organizations are </w:t>
      </w:r>
      <w:r w:rsidR="00A05D19" w:rsidRPr="0040779B">
        <w:t>tiered based on the complexity and size of the institution.</w:t>
      </w:r>
    </w:p>
    <w:p w14:paraId="251596C8" w14:textId="3AC607D9" w:rsidR="00F40568" w:rsidRPr="0040779B" w:rsidRDefault="004F121E" w:rsidP="0040779B">
      <w:pPr>
        <w:pStyle w:val="NormalWeb"/>
        <w:shd w:val="clear" w:color="auto" w:fill="FFFFFF"/>
        <w:spacing w:before="0" w:beforeAutospacing="0" w:line="276" w:lineRule="auto"/>
      </w:pPr>
      <w:r w:rsidRPr="0040779B">
        <w:t>Large</w:t>
      </w:r>
      <w:r w:rsidR="00BA7A7B" w:rsidRPr="0040779B">
        <w:t xml:space="preserve"> banks would be required to</w:t>
      </w:r>
      <w:r w:rsidR="00F40568" w:rsidRPr="0040779B">
        <w:t>:</w:t>
      </w:r>
    </w:p>
    <w:p w14:paraId="26BD908F" w14:textId="09021F8D" w:rsidR="00F40568" w:rsidRPr="0040779B" w:rsidRDefault="00F40568" w:rsidP="0040779B">
      <w:pPr>
        <w:pStyle w:val="NormalWeb"/>
        <w:numPr>
          <w:ilvl w:val="0"/>
          <w:numId w:val="1"/>
        </w:numPr>
        <w:shd w:val="clear" w:color="auto" w:fill="FFFFFF"/>
        <w:spacing w:before="0" w:beforeAutospacing="0" w:line="276" w:lineRule="auto"/>
      </w:pPr>
      <w:r w:rsidRPr="0040779B">
        <w:t>I</w:t>
      </w:r>
      <w:r w:rsidR="00BA7A7B" w:rsidRPr="0040779B">
        <w:t>nclude accumulated other comprehensive income (AOCI) in the calculation of regulatory capital</w:t>
      </w:r>
    </w:p>
    <w:p w14:paraId="2D983FD3" w14:textId="40BEDC77" w:rsidR="005E4BB7" w:rsidRPr="0040779B" w:rsidRDefault="005B07CD" w:rsidP="0040779B">
      <w:pPr>
        <w:pStyle w:val="NormalWeb"/>
        <w:numPr>
          <w:ilvl w:val="0"/>
          <w:numId w:val="1"/>
        </w:numPr>
        <w:shd w:val="clear" w:color="auto" w:fill="FFFFFF"/>
        <w:spacing w:before="0" w:beforeAutospacing="0" w:line="276" w:lineRule="auto"/>
      </w:pPr>
      <w:r w:rsidRPr="0040779B">
        <w:t xml:space="preserve">Better capture credit risk </w:t>
      </w:r>
      <w:r w:rsidR="003F333F" w:rsidRPr="0040779B">
        <w:t>exposure by using</w:t>
      </w:r>
      <w:r w:rsidR="005021F1" w:rsidRPr="0040779B">
        <w:t xml:space="preserve"> the “expanded risk-based approach</w:t>
      </w:r>
      <w:r w:rsidR="00E46BEF">
        <w:t>,</w:t>
      </w:r>
      <w:r w:rsidR="005021F1" w:rsidRPr="0040779B">
        <w:t>” which calculates total risk</w:t>
      </w:r>
      <w:r w:rsidR="00F40568" w:rsidRPr="0040779B">
        <w:t>-</w:t>
      </w:r>
      <w:r w:rsidR="005021F1" w:rsidRPr="0040779B">
        <w:t>weighted assets using credit risk, equity risk, operational risk, market risk and credit valuation adjustment (CVA) risk</w:t>
      </w:r>
    </w:p>
    <w:p w14:paraId="0BEB90AF" w14:textId="751CA6AE" w:rsidR="005E4BB7" w:rsidRPr="0040779B" w:rsidRDefault="005E4BB7" w:rsidP="0040779B">
      <w:pPr>
        <w:pStyle w:val="NormalWeb"/>
        <w:numPr>
          <w:ilvl w:val="0"/>
          <w:numId w:val="1"/>
        </w:numPr>
        <w:shd w:val="clear" w:color="auto" w:fill="FFFFFF"/>
        <w:spacing w:before="0" w:beforeAutospacing="0" w:line="276" w:lineRule="auto"/>
      </w:pPr>
      <w:r w:rsidRPr="0040779B">
        <w:t xml:space="preserve">Calculate </w:t>
      </w:r>
      <w:r w:rsidR="00C354FB" w:rsidRPr="0040779B">
        <w:t>common equity tier 1 capital ratio, tier 1 capital ratio and total capital ratio</w:t>
      </w:r>
      <w:r w:rsidR="00C471C5" w:rsidRPr="0040779B">
        <w:t xml:space="preserve"> </w:t>
      </w:r>
      <w:r w:rsidR="004F1C33" w:rsidRPr="0040779B">
        <w:t xml:space="preserve">using the </w:t>
      </w:r>
      <w:r w:rsidRPr="0040779B">
        <w:t xml:space="preserve">risk-weighted asset amounts under the current standardized approach </w:t>
      </w:r>
      <w:r w:rsidR="002839E8">
        <w:t>&lt;i&gt;</w:t>
      </w:r>
      <w:r w:rsidRPr="0040779B">
        <w:rPr>
          <w:i/>
          <w:iCs/>
        </w:rPr>
        <w:t>and</w:t>
      </w:r>
      <w:r w:rsidR="002839E8">
        <w:t>&lt;i&gt;</w:t>
      </w:r>
      <w:r w:rsidRPr="0040779B">
        <w:t xml:space="preserve"> the expanded risk-based approach</w:t>
      </w:r>
      <w:r w:rsidR="004F1C33" w:rsidRPr="0040779B">
        <w:t>.</w:t>
      </w:r>
      <w:r w:rsidRPr="0040779B">
        <w:t xml:space="preserve"> </w:t>
      </w:r>
      <w:r w:rsidR="004F1C33" w:rsidRPr="0040779B">
        <w:t>T</w:t>
      </w:r>
      <w:r w:rsidRPr="0040779B">
        <w:t xml:space="preserve">he higher of the two risk-weighted asset amounts </w:t>
      </w:r>
      <w:r w:rsidR="004F1C33" w:rsidRPr="0040779B">
        <w:t>will be used</w:t>
      </w:r>
      <w:r w:rsidR="005728B5" w:rsidRPr="0040779B">
        <w:t xml:space="preserve"> </w:t>
      </w:r>
      <w:r w:rsidRPr="0040779B">
        <w:t>to satisfy minimum capital requirements</w:t>
      </w:r>
      <w:r w:rsidR="005728B5" w:rsidRPr="0040779B">
        <w:t>.</w:t>
      </w:r>
      <w:r w:rsidRPr="0040779B">
        <w:t xml:space="preserve"> </w:t>
      </w:r>
    </w:p>
    <w:p w14:paraId="71BF6F73" w14:textId="67335F2A" w:rsidR="00161CAD" w:rsidRPr="0040779B" w:rsidRDefault="006746E0" w:rsidP="0040779B">
      <w:pPr>
        <w:pStyle w:val="NormalWeb"/>
        <w:numPr>
          <w:ilvl w:val="0"/>
          <w:numId w:val="1"/>
        </w:numPr>
        <w:shd w:val="clear" w:color="auto" w:fill="FFFFFF"/>
        <w:spacing w:before="0" w:beforeAutospacing="0" w:line="276" w:lineRule="auto"/>
      </w:pPr>
      <w:r w:rsidRPr="0040779B">
        <w:t>Follow</w:t>
      </w:r>
      <w:r w:rsidR="00161CAD" w:rsidRPr="0040779B">
        <w:t xml:space="preserve"> market risk rules for trading activity</w:t>
      </w:r>
      <w:r w:rsidR="00E46BEF">
        <w:t>,</w:t>
      </w:r>
      <w:r w:rsidR="00161CAD" w:rsidRPr="0040779B">
        <w:t xml:space="preserve"> including CVA risk</w:t>
      </w:r>
      <w:r w:rsidRPr="0040779B">
        <w:t xml:space="preserve"> and</w:t>
      </w:r>
      <w:r w:rsidR="00161CAD" w:rsidRPr="0040779B">
        <w:t xml:space="preserve"> market risk requirements</w:t>
      </w:r>
      <w:r w:rsidR="00E46BEF">
        <w:t>,</w:t>
      </w:r>
      <w:r w:rsidR="00161CAD" w:rsidRPr="0040779B">
        <w:t xml:space="preserve"> when total trading assets and liabilities exceed </w:t>
      </w:r>
      <w:r w:rsidR="002839E8">
        <w:t>10%</w:t>
      </w:r>
      <w:r w:rsidR="00161CAD" w:rsidRPr="0040779B">
        <w:t xml:space="preserve"> of total assets. </w:t>
      </w:r>
      <w:r w:rsidR="004F5CF6" w:rsidRPr="0040779B">
        <w:t>T</w:t>
      </w:r>
      <w:r w:rsidR="00161CAD" w:rsidRPr="0040779B">
        <w:t>he dollar threshold for trading assets and liabilities would be raised from $1 billion to $5 billion.</w:t>
      </w:r>
    </w:p>
    <w:p w14:paraId="39DE9DFD" w14:textId="5EA57E30" w:rsidR="00406AA4" w:rsidRPr="0040779B" w:rsidRDefault="0027428A" w:rsidP="0040779B">
      <w:pPr>
        <w:pStyle w:val="NormalWeb"/>
        <w:shd w:val="clear" w:color="auto" w:fill="FFFFFF"/>
        <w:spacing w:before="0" w:beforeAutospacing="0" w:line="276" w:lineRule="auto"/>
      </w:pPr>
      <w:r w:rsidRPr="0040779B">
        <w:t>Banks with $100 billion to $250 billion in assets would also be subject to the supplementary leverage ratio and the countercyclical capital buffer.</w:t>
      </w:r>
    </w:p>
    <w:p w14:paraId="7EA96D44" w14:textId="0A755D91" w:rsidR="003C74CA" w:rsidRPr="0040779B" w:rsidRDefault="004F7D14" w:rsidP="0040779B">
      <w:pPr>
        <w:pStyle w:val="NormalWeb"/>
        <w:shd w:val="clear" w:color="auto" w:fill="FFFFFF"/>
        <w:spacing w:before="0" w:beforeAutospacing="0" w:line="276" w:lineRule="auto"/>
        <w:rPr>
          <w:color w:val="444343"/>
          <w:shd w:val="clear" w:color="auto" w:fill="FFFFFF"/>
        </w:rPr>
      </w:pPr>
      <w:r w:rsidRPr="0040779B">
        <w:rPr>
          <w:b/>
          <w:bCs/>
        </w:rPr>
        <w:t xml:space="preserve">Enhanced resolution plans. </w:t>
      </w:r>
      <w:r w:rsidRPr="0040779B">
        <w:t>In August</w:t>
      </w:r>
      <w:r w:rsidR="002839E8">
        <w:t>,</w:t>
      </w:r>
      <w:r w:rsidRPr="0040779B">
        <w:t xml:space="preserve"> the FDIC and Fed</w:t>
      </w:r>
      <w:r w:rsidR="00C93FD6" w:rsidRPr="0040779B">
        <w:t xml:space="preserve"> proposed guidance </w:t>
      </w:r>
      <w:r w:rsidRPr="0040779B">
        <w:t xml:space="preserve">that </w:t>
      </w:r>
      <w:r w:rsidR="00C93FD6" w:rsidRPr="0040779B">
        <w:t xml:space="preserve">would help banks with $250 billion or more in assets further their </w:t>
      </w:r>
      <w:r w:rsidR="00C93FD6" w:rsidRPr="0040779B">
        <w:rPr>
          <w:color w:val="444343"/>
          <w:shd w:val="clear" w:color="auto" w:fill="FFFFFF"/>
        </w:rPr>
        <w:t xml:space="preserve">resolution plans, also known as “living wills,” which are required under the Dodd-Frank Act. These plans detail how a bank holding company would rapidly </w:t>
      </w:r>
      <w:r w:rsidR="00875A19" w:rsidRPr="0040779B">
        <w:rPr>
          <w:color w:val="444343"/>
          <w:shd w:val="clear" w:color="auto" w:fill="FFFFFF"/>
        </w:rPr>
        <w:t xml:space="preserve">resolve the bank when facing bankruptcy due to financial distress or failure. </w:t>
      </w:r>
      <w:r w:rsidR="003C74CA" w:rsidRPr="0040779B">
        <w:rPr>
          <w:color w:val="444343"/>
          <w:shd w:val="clear" w:color="auto" w:fill="FFFFFF"/>
        </w:rPr>
        <w:t>The guidance is focused on areas of potential vulnerability, including capital, liquidity and operational capabilities</w:t>
      </w:r>
      <w:r w:rsidR="005477EA" w:rsidRPr="0040779B">
        <w:rPr>
          <w:color w:val="444343"/>
          <w:shd w:val="clear" w:color="auto" w:fill="FFFFFF"/>
        </w:rPr>
        <w:t>.</w:t>
      </w:r>
      <w:r w:rsidR="004E6D5C" w:rsidRPr="0040779B">
        <w:rPr>
          <w:color w:val="444343"/>
          <w:shd w:val="clear" w:color="auto" w:fill="FFFFFF"/>
        </w:rPr>
        <w:t xml:space="preserve"> In August, the FDIC also proposed stricter resolution plans for banks with $100 billion or more in assets and informational filings for banks with assets between $50 billion and $100 billion. </w:t>
      </w:r>
      <w:r w:rsidR="002343F4" w:rsidRPr="00B04CC2">
        <w:rPr>
          <w:color w:val="444343"/>
          <w:shd w:val="clear" w:color="auto" w:fill="FFFFFF"/>
        </w:rPr>
        <w:t>ICBA</w:t>
      </w:r>
      <w:r w:rsidR="004E6D5C" w:rsidRPr="0040779B">
        <w:rPr>
          <w:color w:val="444343"/>
          <w:shd w:val="clear" w:color="auto" w:fill="FFFFFF"/>
        </w:rPr>
        <w:t xml:space="preserve"> has serious concerns with </w:t>
      </w:r>
      <w:r w:rsidR="00E46BEF" w:rsidRPr="0040779B">
        <w:rPr>
          <w:color w:val="444343"/>
          <w:shd w:val="clear" w:color="auto" w:fill="FFFFFF"/>
        </w:rPr>
        <w:t>both FDIC</w:t>
      </w:r>
      <w:r w:rsidR="004E6D5C" w:rsidRPr="0040779B">
        <w:rPr>
          <w:color w:val="444343"/>
          <w:shd w:val="clear" w:color="auto" w:fill="FFFFFF"/>
        </w:rPr>
        <w:t xml:space="preserve"> proposals.  </w:t>
      </w:r>
    </w:p>
    <w:p w14:paraId="74BEE438" w14:textId="7A4991DF" w:rsidR="00875A19" w:rsidRDefault="00CF2D1C" w:rsidP="0040779B">
      <w:pPr>
        <w:pStyle w:val="NormalWeb"/>
        <w:shd w:val="clear" w:color="auto" w:fill="FFFFFF"/>
        <w:spacing w:before="0" w:beforeAutospacing="0" w:line="276" w:lineRule="auto"/>
        <w:rPr>
          <w:color w:val="374151"/>
          <w:shd w:val="clear" w:color="auto" w:fill="F7F7F8"/>
        </w:rPr>
      </w:pPr>
      <w:r w:rsidRPr="0040779B">
        <w:rPr>
          <w:b/>
          <w:bCs/>
          <w:color w:val="444343"/>
          <w:shd w:val="clear" w:color="auto" w:fill="FFFFFF"/>
        </w:rPr>
        <w:lastRenderedPageBreak/>
        <w:t xml:space="preserve">Financial stability through long-term debt. </w:t>
      </w:r>
      <w:r w:rsidRPr="0040779B">
        <w:rPr>
          <w:color w:val="444343"/>
          <w:shd w:val="clear" w:color="auto" w:fill="FFFFFF"/>
        </w:rPr>
        <w:t>In August</w:t>
      </w:r>
      <w:r w:rsidR="002839E8">
        <w:rPr>
          <w:color w:val="444343"/>
          <w:shd w:val="clear" w:color="auto" w:fill="FFFFFF"/>
        </w:rPr>
        <w:t>,</w:t>
      </w:r>
      <w:r w:rsidRPr="0040779B">
        <w:rPr>
          <w:color w:val="444343"/>
          <w:shd w:val="clear" w:color="auto" w:fill="FFFFFF"/>
        </w:rPr>
        <w:t xml:space="preserve"> the agencies also </w:t>
      </w:r>
      <w:r w:rsidR="00875A19" w:rsidRPr="0040779B">
        <w:rPr>
          <w:color w:val="444343"/>
          <w:shd w:val="clear" w:color="auto" w:fill="FFFFFF"/>
        </w:rPr>
        <w:t xml:space="preserve">proposed </w:t>
      </w:r>
      <w:r w:rsidRPr="0040779B">
        <w:rPr>
          <w:color w:val="444343"/>
          <w:shd w:val="clear" w:color="auto" w:fill="FFFFFF"/>
        </w:rPr>
        <w:t xml:space="preserve">a </w:t>
      </w:r>
      <w:r w:rsidR="00875A19" w:rsidRPr="0040779B">
        <w:rPr>
          <w:color w:val="444343"/>
          <w:shd w:val="clear" w:color="auto" w:fill="FFFFFF"/>
        </w:rPr>
        <w:t>rule that would require large banks with $100 billion or more in assets to maintain a layer of long-term debt. This would improve financial stability by increasing the resolvability and resiliency of such institutions.</w:t>
      </w:r>
      <w:r w:rsidR="006A737D" w:rsidRPr="0040779B">
        <w:rPr>
          <w:rFonts w:eastAsiaTheme="minorHAnsi"/>
          <w:color w:val="374151"/>
          <w:sz w:val="22"/>
          <w:szCs w:val="22"/>
          <w:shd w:val="clear" w:color="auto" w:fill="F7F7F8"/>
        </w:rPr>
        <w:t xml:space="preserve"> </w:t>
      </w:r>
      <w:r w:rsidR="006A737D" w:rsidRPr="0040779B">
        <w:rPr>
          <w:color w:val="444343"/>
          <w:shd w:val="clear" w:color="auto" w:fill="FFFFFF"/>
        </w:rPr>
        <w:t xml:space="preserve">The proposal also limits complex activities, discouraging </w:t>
      </w:r>
      <w:r w:rsidR="00654520" w:rsidRPr="0040779B">
        <w:rPr>
          <w:color w:val="444343"/>
          <w:shd w:val="clear" w:color="auto" w:fill="FFFFFF"/>
        </w:rPr>
        <w:t xml:space="preserve">large banks from </w:t>
      </w:r>
      <w:r w:rsidR="006A737D" w:rsidRPr="0040779B">
        <w:rPr>
          <w:color w:val="444343"/>
          <w:shd w:val="clear" w:color="auto" w:fill="FFFFFF"/>
        </w:rPr>
        <w:t>interbank long-term debt holdings to reduce system interconnectedness</w:t>
      </w:r>
      <w:r w:rsidR="00654520" w:rsidRPr="0040779B">
        <w:rPr>
          <w:color w:val="444343"/>
          <w:shd w:val="clear" w:color="auto" w:fill="FFFFFF"/>
        </w:rPr>
        <w:t xml:space="preserve"> and contagion</w:t>
      </w:r>
      <w:r w:rsidR="006A737D" w:rsidRPr="0040779B">
        <w:rPr>
          <w:color w:val="444343"/>
          <w:shd w:val="clear" w:color="auto" w:fill="FFFFFF"/>
        </w:rPr>
        <w:t xml:space="preserve">. </w:t>
      </w:r>
      <w:r w:rsidR="009059DA" w:rsidRPr="0040779B">
        <w:rPr>
          <w:color w:val="374151"/>
          <w:shd w:val="clear" w:color="auto" w:fill="F7F7F8"/>
        </w:rPr>
        <w:t xml:space="preserve"> </w:t>
      </w:r>
    </w:p>
    <w:p w14:paraId="1071AC16" w14:textId="77777777" w:rsidR="00E46BEF" w:rsidRPr="0040779B" w:rsidRDefault="00E46BEF" w:rsidP="0040779B">
      <w:pPr>
        <w:pStyle w:val="NormalWeb"/>
        <w:shd w:val="clear" w:color="auto" w:fill="FFFFFF"/>
        <w:spacing w:before="0" w:beforeAutospacing="0" w:line="276" w:lineRule="auto"/>
        <w:rPr>
          <w:color w:val="444343"/>
          <w:shd w:val="clear" w:color="auto" w:fill="FFFFFF"/>
        </w:rPr>
      </w:pPr>
    </w:p>
    <w:p w14:paraId="508D0048" w14:textId="51B7A4D7" w:rsidR="00875A19" w:rsidRPr="0040779B" w:rsidRDefault="0040779B" w:rsidP="0040779B">
      <w:pPr>
        <w:pStyle w:val="NormalWeb"/>
        <w:shd w:val="clear" w:color="auto" w:fill="FFFFFF"/>
        <w:spacing w:before="0" w:beforeAutospacing="0" w:line="276" w:lineRule="auto"/>
        <w:rPr>
          <w:b/>
          <w:bCs/>
        </w:rPr>
      </w:pPr>
      <w:r>
        <w:rPr>
          <w:b/>
          <w:bCs/>
        </w:rPr>
        <w:t xml:space="preserve">[subhed] </w:t>
      </w:r>
      <w:r w:rsidR="00F31A3B" w:rsidRPr="0040779B">
        <w:rPr>
          <w:b/>
          <w:bCs/>
        </w:rPr>
        <w:t xml:space="preserve">The </w:t>
      </w:r>
      <w:r w:rsidR="002839E8">
        <w:rPr>
          <w:b/>
          <w:bCs/>
        </w:rPr>
        <w:t>w</w:t>
      </w:r>
      <w:r w:rsidR="00F31A3B" w:rsidRPr="0040779B">
        <w:rPr>
          <w:b/>
          <w:bCs/>
        </w:rPr>
        <w:t xml:space="preserve">ay </w:t>
      </w:r>
      <w:r w:rsidR="002839E8">
        <w:rPr>
          <w:b/>
          <w:bCs/>
        </w:rPr>
        <w:t>f</w:t>
      </w:r>
      <w:r w:rsidR="00F31A3B" w:rsidRPr="0040779B">
        <w:rPr>
          <w:b/>
          <w:bCs/>
        </w:rPr>
        <w:t>orward</w:t>
      </w:r>
      <w:r w:rsidR="00E46BEF">
        <w:rPr>
          <w:b/>
          <w:bCs/>
        </w:rPr>
        <w:t xml:space="preserve"> for proportionate regulation</w:t>
      </w:r>
    </w:p>
    <w:p w14:paraId="5DF3B423" w14:textId="0D3BA580" w:rsidR="00075FC6" w:rsidRPr="0040779B" w:rsidRDefault="00A53AC4" w:rsidP="0040779B">
      <w:pPr>
        <w:pStyle w:val="NormalWeb"/>
        <w:shd w:val="clear" w:color="auto" w:fill="FFFFFF"/>
        <w:spacing w:before="0" w:beforeAutospacing="0" w:line="276" w:lineRule="auto"/>
      </w:pPr>
      <w:r w:rsidRPr="0040779B">
        <w:t>ICBA maintains that regulatory reforms aimed</w:t>
      </w:r>
      <w:r w:rsidR="00787390" w:rsidRPr="0040779B">
        <w:t xml:space="preserve"> at increasing oversight and reforming capital frameworks must be tailored to differentiate</w:t>
      </w:r>
      <w:r w:rsidR="00E46BEF">
        <w:t xml:space="preserve"> community banks from</w:t>
      </w:r>
      <w:r w:rsidR="00787390" w:rsidRPr="0040779B">
        <w:t xml:space="preserve"> </w:t>
      </w:r>
      <w:r w:rsidR="00332DBB" w:rsidRPr="0040779B">
        <w:t>large banks that pose systemic risk.</w:t>
      </w:r>
    </w:p>
    <w:p w14:paraId="2214045E" w14:textId="4448C75D" w:rsidR="00406AA4" w:rsidRPr="0040779B" w:rsidRDefault="00406AA4" w:rsidP="0040779B">
      <w:pPr>
        <w:pStyle w:val="NormalWeb"/>
        <w:shd w:val="clear" w:color="auto" w:fill="FFFFFF"/>
        <w:spacing w:before="0" w:beforeAutospacing="0" w:line="276" w:lineRule="auto"/>
      </w:pPr>
      <w:r w:rsidRPr="0040779B">
        <w:t xml:space="preserve">While the proposals are out, victory is not assured until final rules and guidance are released. Community bankers </w:t>
      </w:r>
      <w:r w:rsidR="00F15F2E" w:rsidRPr="0040779B">
        <w:t xml:space="preserve">need to keep momentum in our favor </w:t>
      </w:r>
      <w:r w:rsidR="00C9409E" w:rsidRPr="0040779B">
        <w:t>throughout the comment period</w:t>
      </w:r>
      <w:r w:rsidR="003049C8" w:rsidRPr="0040779B">
        <w:t>, which ends Nov</w:t>
      </w:r>
      <w:r w:rsidR="002839E8">
        <w:t>.</w:t>
      </w:r>
      <w:r w:rsidR="003049C8" w:rsidRPr="0040779B">
        <w:t xml:space="preserve"> 30</w:t>
      </w:r>
      <w:r w:rsidR="00C9409E" w:rsidRPr="0040779B">
        <w:t>.</w:t>
      </w:r>
      <w:r w:rsidR="00E24949" w:rsidRPr="0040779B">
        <w:t xml:space="preserve"> </w:t>
      </w:r>
      <w:r w:rsidR="00CC6A0B" w:rsidRPr="0040779B">
        <w:t xml:space="preserve">Comments supporting the proposal’s focus on large banks </w:t>
      </w:r>
      <w:r w:rsidR="002045F5" w:rsidRPr="0040779B">
        <w:t xml:space="preserve">is invaluable along with </w:t>
      </w:r>
      <w:r w:rsidR="00B40515" w:rsidRPr="0040779B">
        <w:t xml:space="preserve">involvement in the </w:t>
      </w:r>
      <w:r w:rsidR="00F35CF0" w:rsidRPr="0040779B">
        <w:t xml:space="preserve">turnkey </w:t>
      </w:r>
      <w:r w:rsidR="00B40515" w:rsidRPr="0040779B">
        <w:t xml:space="preserve">ICBA National Campaign </w:t>
      </w:r>
      <w:r w:rsidR="00F35CF0" w:rsidRPr="0040779B">
        <w:t>to educate the American public on the benefits of community banking and why their choice of bank matters.</w:t>
      </w:r>
    </w:p>
    <w:p w14:paraId="2B11C7C9" w14:textId="77777777" w:rsidR="00F31A3B" w:rsidRDefault="00F31A3B" w:rsidP="0040779B">
      <w:pPr>
        <w:pStyle w:val="NormalWeb"/>
        <w:shd w:val="clear" w:color="auto" w:fill="FFFFFF"/>
        <w:spacing w:before="0" w:beforeAutospacing="0" w:line="276" w:lineRule="auto"/>
      </w:pPr>
      <w:r w:rsidRPr="0040779B">
        <w:t>ICBA will continue working with policymakers to ensure Washington’s policy response does not affect the community banks that continue to appropriately manage risk and do right by their customers and communities.</w:t>
      </w:r>
    </w:p>
    <w:p w14:paraId="04824A9B" w14:textId="1A6FFC30" w:rsidR="002839E8" w:rsidRPr="0040779B" w:rsidRDefault="002839E8" w:rsidP="0040779B">
      <w:pPr>
        <w:pStyle w:val="NormalWeb"/>
        <w:shd w:val="clear" w:color="auto" w:fill="FFFFFF"/>
        <w:spacing w:before="0" w:beforeAutospacing="0" w:line="276" w:lineRule="auto"/>
      </w:pPr>
      <w:r>
        <w:t>Chris Cole (&lt;i&gt;</w:t>
      </w:r>
      <w:r w:rsidRPr="00B04CC2">
        <w:rPr>
          <w:i/>
          <w:iCs/>
        </w:rPr>
        <w:t>chris.cole@icba.org</w:t>
      </w:r>
      <w:r>
        <w:t>&lt;i&gt;) is e</w:t>
      </w:r>
      <w:r w:rsidRPr="002839E8">
        <w:t xml:space="preserve">xecutive </w:t>
      </w:r>
      <w:r>
        <w:t>v</w:t>
      </w:r>
      <w:r w:rsidRPr="002839E8">
        <w:t xml:space="preserve">ice </w:t>
      </w:r>
      <w:r>
        <w:t>p</w:t>
      </w:r>
      <w:r w:rsidRPr="002839E8">
        <w:t>resident</w:t>
      </w:r>
      <w:r>
        <w:t>,</w:t>
      </w:r>
      <w:r w:rsidRPr="002839E8">
        <w:t xml:space="preserve"> </w:t>
      </w:r>
      <w:r>
        <w:t>s</w:t>
      </w:r>
      <w:r w:rsidRPr="002839E8">
        <w:t xml:space="preserve">enior </w:t>
      </w:r>
      <w:r>
        <w:t>r</w:t>
      </w:r>
      <w:r w:rsidRPr="002839E8">
        <w:t xml:space="preserve">egulatory </w:t>
      </w:r>
      <w:r>
        <w:t>c</w:t>
      </w:r>
      <w:r w:rsidRPr="002839E8">
        <w:t>ounsel</w:t>
      </w:r>
    </w:p>
    <w:p w14:paraId="4C30E5DB" w14:textId="5645D08E" w:rsidR="005A0BC8" w:rsidRDefault="0040779B" w:rsidP="0040779B">
      <w:pPr>
        <w:spacing w:line="276" w:lineRule="auto"/>
        <w:rPr>
          <w:rFonts w:ascii="Times New Roman" w:hAnsi="Times New Roman" w:cs="Times New Roman"/>
        </w:rPr>
      </w:pPr>
      <w:r>
        <w:rPr>
          <w:rFonts w:ascii="Times New Roman" w:hAnsi="Times New Roman" w:cs="Times New Roman"/>
        </w:rPr>
        <w:t>[ends]</w:t>
      </w:r>
    </w:p>
    <w:p w14:paraId="4AC062CA" w14:textId="03FB8229" w:rsidR="0040779B" w:rsidRDefault="0040779B" w:rsidP="0040779B">
      <w:pPr>
        <w:spacing w:line="276" w:lineRule="auto"/>
        <w:rPr>
          <w:rFonts w:ascii="Times New Roman" w:hAnsi="Times New Roman" w:cs="Times New Roman"/>
        </w:rPr>
      </w:pPr>
      <w:r>
        <w:rPr>
          <w:rFonts w:ascii="Times New Roman" w:hAnsi="Times New Roman" w:cs="Times New Roman"/>
        </w:rPr>
        <w:t>[pull quote]</w:t>
      </w:r>
    </w:p>
    <w:p w14:paraId="4BCA8F3C" w14:textId="1D1CECA2" w:rsidR="002839E8" w:rsidRPr="0040779B" w:rsidRDefault="002839E8" w:rsidP="00B04CC2">
      <w:pPr>
        <w:pStyle w:val="NormalWeb"/>
        <w:shd w:val="clear" w:color="auto" w:fill="FFFFFF"/>
        <w:spacing w:before="0" w:beforeAutospacing="0" w:line="276" w:lineRule="auto"/>
      </w:pPr>
      <w:r w:rsidRPr="0040779B">
        <w:t>ICBA maintains that regulatory reforms aimed at increasing oversight and reforming capital frameworks must be tailored to differentiate large banks that pose systemic risk from community banks.</w:t>
      </w:r>
    </w:p>
    <w:sectPr w:rsidR="002839E8" w:rsidRPr="00407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C5722"/>
    <w:multiLevelType w:val="hybridMultilevel"/>
    <w:tmpl w:val="EE5A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5132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CB"/>
    <w:rsid w:val="00012E47"/>
    <w:rsid w:val="00061B57"/>
    <w:rsid w:val="00075FC6"/>
    <w:rsid w:val="000D251A"/>
    <w:rsid w:val="000E7033"/>
    <w:rsid w:val="00115247"/>
    <w:rsid w:val="001343AB"/>
    <w:rsid w:val="00161CAD"/>
    <w:rsid w:val="00197432"/>
    <w:rsid w:val="001D640F"/>
    <w:rsid w:val="001F7F84"/>
    <w:rsid w:val="002045F5"/>
    <w:rsid w:val="002343F4"/>
    <w:rsid w:val="0026219F"/>
    <w:rsid w:val="0027428A"/>
    <w:rsid w:val="00275739"/>
    <w:rsid w:val="002839E8"/>
    <w:rsid w:val="002F2846"/>
    <w:rsid w:val="002F76CB"/>
    <w:rsid w:val="003049C8"/>
    <w:rsid w:val="00322BF6"/>
    <w:rsid w:val="00332DBB"/>
    <w:rsid w:val="00347683"/>
    <w:rsid w:val="003C4EC3"/>
    <w:rsid w:val="003C74CA"/>
    <w:rsid w:val="003E2024"/>
    <w:rsid w:val="003E21DB"/>
    <w:rsid w:val="003F1A59"/>
    <w:rsid w:val="003F333F"/>
    <w:rsid w:val="00406AA4"/>
    <w:rsid w:val="0040779B"/>
    <w:rsid w:val="00474D91"/>
    <w:rsid w:val="004962C4"/>
    <w:rsid w:val="004E6D5C"/>
    <w:rsid w:val="004F016D"/>
    <w:rsid w:val="004F121E"/>
    <w:rsid w:val="004F1C33"/>
    <w:rsid w:val="004F5CF6"/>
    <w:rsid w:val="004F7D14"/>
    <w:rsid w:val="005021F1"/>
    <w:rsid w:val="005477EA"/>
    <w:rsid w:val="005728B5"/>
    <w:rsid w:val="005A0BC8"/>
    <w:rsid w:val="005A3D36"/>
    <w:rsid w:val="005B07CD"/>
    <w:rsid w:val="005E4BB7"/>
    <w:rsid w:val="005F4C6E"/>
    <w:rsid w:val="006417FD"/>
    <w:rsid w:val="00654520"/>
    <w:rsid w:val="006746E0"/>
    <w:rsid w:val="006A737D"/>
    <w:rsid w:val="006B15A2"/>
    <w:rsid w:val="006D5F9A"/>
    <w:rsid w:val="00730113"/>
    <w:rsid w:val="00787390"/>
    <w:rsid w:val="007F1CF6"/>
    <w:rsid w:val="0083586F"/>
    <w:rsid w:val="00875A19"/>
    <w:rsid w:val="008B0289"/>
    <w:rsid w:val="008F666B"/>
    <w:rsid w:val="009059DA"/>
    <w:rsid w:val="009065BB"/>
    <w:rsid w:val="009C4D82"/>
    <w:rsid w:val="009E5D25"/>
    <w:rsid w:val="00A05D19"/>
    <w:rsid w:val="00A46033"/>
    <w:rsid w:val="00A53AC4"/>
    <w:rsid w:val="00A63730"/>
    <w:rsid w:val="00A82828"/>
    <w:rsid w:val="00AB1C67"/>
    <w:rsid w:val="00AB62C3"/>
    <w:rsid w:val="00AE6B1A"/>
    <w:rsid w:val="00B04CC2"/>
    <w:rsid w:val="00B11346"/>
    <w:rsid w:val="00B40515"/>
    <w:rsid w:val="00BA7A7B"/>
    <w:rsid w:val="00C354FB"/>
    <w:rsid w:val="00C471C5"/>
    <w:rsid w:val="00C531CF"/>
    <w:rsid w:val="00C93FD6"/>
    <w:rsid w:val="00C9409E"/>
    <w:rsid w:val="00CC63DF"/>
    <w:rsid w:val="00CC6A0B"/>
    <w:rsid w:val="00CD366C"/>
    <w:rsid w:val="00CF2D1C"/>
    <w:rsid w:val="00E24949"/>
    <w:rsid w:val="00E46BEF"/>
    <w:rsid w:val="00F15F2E"/>
    <w:rsid w:val="00F27351"/>
    <w:rsid w:val="00F31A3B"/>
    <w:rsid w:val="00F35CF0"/>
    <w:rsid w:val="00F40568"/>
    <w:rsid w:val="00F60D14"/>
    <w:rsid w:val="00FC2A05"/>
    <w:rsid w:val="00FF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DFA51"/>
  <w15:chartTrackingRefBased/>
  <w15:docId w15:val="{B73DF593-D8CD-4A46-874A-70A98CE8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6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6CB"/>
    <w:rPr>
      <w:b/>
      <w:bCs/>
    </w:rPr>
  </w:style>
  <w:style w:type="character" w:styleId="Hyperlink">
    <w:name w:val="Hyperlink"/>
    <w:basedOn w:val="DefaultParagraphFont"/>
    <w:uiPriority w:val="99"/>
    <w:semiHidden/>
    <w:unhideWhenUsed/>
    <w:rsid w:val="002F76CB"/>
    <w:rPr>
      <w:color w:val="0000FF"/>
      <w:u w:val="single"/>
    </w:rPr>
  </w:style>
  <w:style w:type="character" w:styleId="FollowedHyperlink">
    <w:name w:val="FollowedHyperlink"/>
    <w:basedOn w:val="DefaultParagraphFont"/>
    <w:uiPriority w:val="99"/>
    <w:semiHidden/>
    <w:unhideWhenUsed/>
    <w:rsid w:val="002F76CB"/>
    <w:rPr>
      <w:color w:val="954F72" w:themeColor="followedHyperlink"/>
      <w:u w:val="single"/>
    </w:rPr>
  </w:style>
  <w:style w:type="paragraph" w:styleId="Revision">
    <w:name w:val="Revision"/>
    <w:hidden/>
    <w:uiPriority w:val="99"/>
    <w:semiHidden/>
    <w:rsid w:val="00A05D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226396">
      <w:bodyDiv w:val="1"/>
      <w:marLeft w:val="0"/>
      <w:marRight w:val="0"/>
      <w:marTop w:val="0"/>
      <w:marBottom w:val="0"/>
      <w:divBdr>
        <w:top w:val="none" w:sz="0" w:space="0" w:color="auto"/>
        <w:left w:val="none" w:sz="0" w:space="0" w:color="auto"/>
        <w:bottom w:val="none" w:sz="0" w:space="0" w:color="auto"/>
        <w:right w:val="none" w:sz="0" w:space="0" w:color="auto"/>
      </w:divBdr>
    </w:div>
    <w:div w:id="194741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Pike Pike</dc:creator>
  <cp:keywords/>
  <dc:description/>
  <cp:lastModifiedBy>Molly Bennett</cp:lastModifiedBy>
  <cp:revision>3</cp:revision>
  <dcterms:created xsi:type="dcterms:W3CDTF">2023-09-06T15:30:00Z</dcterms:created>
  <dcterms:modified xsi:type="dcterms:W3CDTF">2023-09-06T15:30:00Z</dcterms:modified>
</cp:coreProperties>
</file>