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BFAC" w14:textId="5018450A" w:rsidR="0056471C" w:rsidRDefault="0056471C" w:rsidP="00D05678">
      <w:pPr>
        <w:shd w:val="clear" w:color="auto" w:fill="FFFFFF"/>
        <w:spacing w:after="0" w:line="276" w:lineRule="auto"/>
        <w:rPr>
          <w:rFonts w:eastAsia="Times New Roman" w:cstheme="minorHAnsi"/>
          <w:b/>
          <w:bCs/>
          <w:sz w:val="24"/>
          <w:szCs w:val="24"/>
        </w:rPr>
      </w:pPr>
      <w:r>
        <w:rPr>
          <w:rFonts w:eastAsia="Times New Roman" w:cstheme="minorHAnsi"/>
          <w:b/>
          <w:bCs/>
          <w:sz w:val="24"/>
          <w:szCs w:val="24"/>
        </w:rPr>
        <w:t>Independent Banker</w:t>
      </w:r>
    </w:p>
    <w:p w14:paraId="3EF3A8CA" w14:textId="17772020" w:rsidR="0056471C" w:rsidRDefault="0056471C" w:rsidP="00D05678">
      <w:pPr>
        <w:shd w:val="clear" w:color="auto" w:fill="FFFFFF"/>
        <w:spacing w:after="0" w:line="276" w:lineRule="auto"/>
        <w:rPr>
          <w:rFonts w:eastAsia="Times New Roman" w:cstheme="minorHAnsi"/>
          <w:b/>
          <w:bCs/>
          <w:sz w:val="24"/>
          <w:szCs w:val="24"/>
        </w:rPr>
      </w:pPr>
      <w:r>
        <w:rPr>
          <w:rFonts w:eastAsia="Times New Roman" w:cstheme="minorHAnsi"/>
          <w:b/>
          <w:bCs/>
          <w:sz w:val="24"/>
          <w:szCs w:val="24"/>
        </w:rPr>
        <w:t>Portfolio</w:t>
      </w:r>
    </w:p>
    <w:p w14:paraId="26F7E48C" w14:textId="408BBB19" w:rsidR="0056471C" w:rsidRDefault="0056471C" w:rsidP="00213FE8">
      <w:pPr>
        <w:shd w:val="clear" w:color="auto" w:fill="FFFFFF"/>
        <w:spacing w:after="360" w:line="276" w:lineRule="auto"/>
        <w:rPr>
          <w:rFonts w:eastAsia="Times New Roman" w:cstheme="minorHAnsi"/>
          <w:b/>
          <w:bCs/>
          <w:sz w:val="24"/>
          <w:szCs w:val="24"/>
        </w:rPr>
      </w:pPr>
      <w:r>
        <w:rPr>
          <w:rFonts w:eastAsia="Times New Roman" w:cstheme="minorHAnsi"/>
          <w:b/>
          <w:bCs/>
          <w:sz w:val="24"/>
          <w:szCs w:val="24"/>
        </w:rPr>
        <w:t>March 2024</w:t>
      </w:r>
    </w:p>
    <w:p w14:paraId="45A4532E" w14:textId="0EA80329" w:rsidR="0056471C" w:rsidRDefault="0056471C" w:rsidP="00213FE8">
      <w:pPr>
        <w:shd w:val="clear" w:color="auto" w:fill="FFFFFF"/>
        <w:spacing w:after="360" w:line="276" w:lineRule="auto"/>
        <w:rPr>
          <w:rFonts w:eastAsia="Times New Roman" w:cstheme="minorHAnsi"/>
          <w:b/>
          <w:bCs/>
          <w:sz w:val="24"/>
          <w:szCs w:val="24"/>
        </w:rPr>
      </w:pPr>
      <w:r>
        <w:rPr>
          <w:rFonts w:eastAsia="Times New Roman" w:cstheme="minorHAnsi"/>
          <w:b/>
          <w:bCs/>
          <w:sz w:val="24"/>
          <w:szCs w:val="24"/>
        </w:rPr>
        <w:t>[tag] Checks &amp; Balances</w:t>
      </w:r>
    </w:p>
    <w:p w14:paraId="3C739109" w14:textId="35C05945" w:rsidR="00A15252" w:rsidRPr="00816DFE" w:rsidRDefault="0056471C" w:rsidP="00D05678">
      <w:pPr>
        <w:shd w:val="clear" w:color="auto" w:fill="FFFFFF"/>
        <w:spacing w:line="276" w:lineRule="auto"/>
        <w:rPr>
          <w:rFonts w:eastAsia="Times New Roman" w:cstheme="minorHAnsi"/>
          <w:sz w:val="24"/>
          <w:szCs w:val="24"/>
        </w:rPr>
      </w:pPr>
      <w:r>
        <w:rPr>
          <w:rFonts w:eastAsia="Times New Roman" w:cstheme="minorHAnsi"/>
          <w:b/>
          <w:bCs/>
          <w:sz w:val="24"/>
          <w:szCs w:val="24"/>
        </w:rPr>
        <w:t xml:space="preserve">[hed] </w:t>
      </w:r>
      <w:r w:rsidR="00A15252" w:rsidRPr="00816DFE">
        <w:rPr>
          <w:rFonts w:eastAsia="Times New Roman" w:cstheme="minorHAnsi"/>
          <w:b/>
          <w:bCs/>
          <w:sz w:val="24"/>
          <w:szCs w:val="24"/>
        </w:rPr>
        <w:t>SVB</w:t>
      </w:r>
      <w:r w:rsidR="00181833" w:rsidRPr="00816DFE">
        <w:rPr>
          <w:rFonts w:eastAsia="Times New Roman" w:cstheme="minorHAnsi"/>
          <w:b/>
          <w:bCs/>
          <w:sz w:val="24"/>
          <w:szCs w:val="24"/>
        </w:rPr>
        <w:t>:</w:t>
      </w:r>
      <w:r w:rsidR="00A15252" w:rsidRPr="00816DFE">
        <w:rPr>
          <w:rFonts w:eastAsia="Times New Roman" w:cstheme="minorHAnsi"/>
          <w:b/>
          <w:bCs/>
          <w:sz w:val="24"/>
          <w:szCs w:val="24"/>
        </w:rPr>
        <w:t xml:space="preserve"> One Year Later</w:t>
      </w:r>
      <w:r w:rsidR="00A15252" w:rsidRPr="00816DFE">
        <w:rPr>
          <w:rFonts w:eastAsia="Times New Roman" w:cstheme="minorHAnsi"/>
          <w:b/>
          <w:bCs/>
          <w:sz w:val="24"/>
          <w:szCs w:val="24"/>
        </w:rPr>
        <w:br/>
      </w:r>
      <w:r>
        <w:rPr>
          <w:rFonts w:eastAsia="Times New Roman" w:cstheme="minorHAnsi"/>
          <w:sz w:val="24"/>
          <w:szCs w:val="24"/>
        </w:rPr>
        <w:t xml:space="preserve">[dek] For the past year, </w:t>
      </w:r>
      <w:r w:rsidR="00D1237C" w:rsidRPr="00816DFE">
        <w:rPr>
          <w:rFonts w:eastAsia="Times New Roman" w:cstheme="minorHAnsi"/>
          <w:sz w:val="24"/>
          <w:szCs w:val="24"/>
        </w:rPr>
        <w:t xml:space="preserve">ICBA </w:t>
      </w:r>
      <w:r>
        <w:rPr>
          <w:rFonts w:eastAsia="Times New Roman" w:cstheme="minorHAnsi"/>
          <w:sz w:val="24"/>
          <w:szCs w:val="24"/>
        </w:rPr>
        <w:t xml:space="preserve">has remained steadfast </w:t>
      </w:r>
      <w:r w:rsidR="00F222AD">
        <w:rPr>
          <w:rFonts w:eastAsia="Times New Roman" w:cstheme="minorHAnsi"/>
          <w:sz w:val="24"/>
          <w:szCs w:val="24"/>
        </w:rPr>
        <w:t>in</w:t>
      </w:r>
      <w:r>
        <w:rPr>
          <w:rFonts w:eastAsia="Times New Roman" w:cstheme="minorHAnsi"/>
          <w:sz w:val="24"/>
          <w:szCs w:val="24"/>
        </w:rPr>
        <w:t xml:space="preserve"> advocating</w:t>
      </w:r>
      <w:r w:rsidR="00D1237C" w:rsidRPr="00816DFE">
        <w:rPr>
          <w:rFonts w:eastAsia="Times New Roman" w:cstheme="minorHAnsi"/>
          <w:sz w:val="24"/>
          <w:szCs w:val="24"/>
        </w:rPr>
        <w:t xml:space="preserve"> for community banks </w:t>
      </w:r>
      <w:r>
        <w:rPr>
          <w:rFonts w:eastAsia="Times New Roman" w:cstheme="minorHAnsi"/>
          <w:sz w:val="24"/>
          <w:szCs w:val="24"/>
        </w:rPr>
        <w:t>in the wake of Silicon Valley Bank’s collapse. Here</w:t>
      </w:r>
      <w:r w:rsidR="00730AE3">
        <w:rPr>
          <w:rFonts w:eastAsia="Times New Roman" w:cstheme="minorHAnsi"/>
          <w:sz w:val="24"/>
          <w:szCs w:val="24"/>
        </w:rPr>
        <w:t xml:space="preserve"> are</w:t>
      </w:r>
      <w:r>
        <w:rPr>
          <w:rFonts w:eastAsia="Times New Roman" w:cstheme="minorHAnsi"/>
          <w:sz w:val="24"/>
          <w:szCs w:val="24"/>
        </w:rPr>
        <w:t xml:space="preserve"> the results of </w:t>
      </w:r>
      <w:r w:rsidR="00730AE3">
        <w:rPr>
          <w:rFonts w:eastAsia="Times New Roman" w:cstheme="minorHAnsi"/>
          <w:sz w:val="24"/>
          <w:szCs w:val="24"/>
        </w:rPr>
        <w:t>those advocacy efforts</w:t>
      </w:r>
      <w:r>
        <w:rPr>
          <w:rFonts w:eastAsia="Times New Roman" w:cstheme="minorHAnsi"/>
          <w:sz w:val="24"/>
          <w:szCs w:val="24"/>
        </w:rPr>
        <w:t>.</w:t>
      </w:r>
    </w:p>
    <w:p w14:paraId="5C28C9D3" w14:textId="23BE7754" w:rsidR="00D1237C" w:rsidRPr="00816DFE" w:rsidRDefault="0056471C" w:rsidP="00D05678">
      <w:pPr>
        <w:shd w:val="clear" w:color="auto" w:fill="FFFFFF"/>
        <w:spacing w:line="276" w:lineRule="auto"/>
        <w:rPr>
          <w:rFonts w:eastAsia="Times New Roman" w:cstheme="minorHAnsi"/>
          <w:sz w:val="24"/>
          <w:szCs w:val="24"/>
        </w:rPr>
      </w:pPr>
      <w:r>
        <w:rPr>
          <w:rFonts w:eastAsia="Times New Roman" w:cstheme="minorHAnsi"/>
          <w:sz w:val="24"/>
          <w:szCs w:val="24"/>
        </w:rPr>
        <w:t xml:space="preserve">[byline] </w:t>
      </w:r>
      <w:r w:rsidR="005C1D4F" w:rsidRPr="00816DFE">
        <w:rPr>
          <w:rFonts w:eastAsia="Times New Roman" w:cstheme="minorHAnsi"/>
          <w:sz w:val="24"/>
          <w:szCs w:val="24"/>
        </w:rPr>
        <w:t xml:space="preserve">By Anne </w:t>
      </w:r>
      <w:r w:rsidR="00816DFE" w:rsidRPr="00816DFE">
        <w:rPr>
          <w:rFonts w:eastAsia="Times New Roman" w:cstheme="minorHAnsi"/>
          <w:sz w:val="24"/>
          <w:szCs w:val="24"/>
        </w:rPr>
        <w:t>Balcer</w:t>
      </w:r>
    </w:p>
    <w:p w14:paraId="226B8DAF" w14:textId="7DAE0706" w:rsidR="003F641B" w:rsidRPr="00816DFE" w:rsidRDefault="003F641B" w:rsidP="00D05678">
      <w:pPr>
        <w:shd w:val="clear" w:color="auto" w:fill="FFFFFF"/>
        <w:spacing w:line="276" w:lineRule="auto"/>
        <w:rPr>
          <w:rFonts w:eastAsia="Times New Roman" w:cstheme="minorHAnsi"/>
          <w:sz w:val="24"/>
          <w:szCs w:val="24"/>
        </w:rPr>
      </w:pPr>
      <w:r w:rsidRPr="00816DFE">
        <w:rPr>
          <w:rFonts w:eastAsia="Times New Roman" w:cstheme="minorHAnsi"/>
          <w:sz w:val="24"/>
          <w:szCs w:val="24"/>
        </w:rPr>
        <w:t xml:space="preserve">It’s been one year since Silicon Valley Bank (SVB) </w:t>
      </w:r>
      <w:r w:rsidR="00F222AD" w:rsidRPr="00816DFE">
        <w:rPr>
          <w:rFonts w:eastAsia="Times New Roman" w:cstheme="minorHAnsi"/>
          <w:sz w:val="24"/>
          <w:szCs w:val="24"/>
        </w:rPr>
        <w:t>collapsed</w:t>
      </w:r>
      <w:r w:rsidR="00235FAC" w:rsidRPr="00816DFE">
        <w:rPr>
          <w:rFonts w:eastAsia="Times New Roman" w:cstheme="minorHAnsi"/>
          <w:sz w:val="24"/>
          <w:szCs w:val="24"/>
        </w:rPr>
        <w:t>,</w:t>
      </w:r>
      <w:r w:rsidR="00A74CFB" w:rsidRPr="00816DFE">
        <w:rPr>
          <w:rFonts w:eastAsia="Times New Roman" w:cstheme="minorHAnsi"/>
          <w:sz w:val="24"/>
          <w:szCs w:val="24"/>
        </w:rPr>
        <w:t xml:space="preserve"> </w:t>
      </w:r>
      <w:r w:rsidR="00CD3EFE" w:rsidRPr="00816DFE">
        <w:rPr>
          <w:rFonts w:eastAsia="Times New Roman" w:cstheme="minorHAnsi"/>
          <w:sz w:val="24"/>
          <w:szCs w:val="24"/>
        </w:rPr>
        <w:t>followed by Signature Bank just days late</w:t>
      </w:r>
      <w:r w:rsidR="00EF6347">
        <w:rPr>
          <w:rFonts w:eastAsia="Times New Roman" w:cstheme="minorHAnsi"/>
          <w:sz w:val="24"/>
          <w:szCs w:val="24"/>
        </w:rPr>
        <w:t>r</w:t>
      </w:r>
      <w:r w:rsidR="00235FAC" w:rsidRPr="00816DFE">
        <w:rPr>
          <w:rFonts w:eastAsia="Times New Roman" w:cstheme="minorHAnsi"/>
          <w:sz w:val="24"/>
          <w:szCs w:val="24"/>
        </w:rPr>
        <w:t>,</w:t>
      </w:r>
      <w:r w:rsidR="00A74CFB" w:rsidRPr="00816DFE">
        <w:rPr>
          <w:rFonts w:eastAsia="Times New Roman" w:cstheme="minorHAnsi"/>
          <w:sz w:val="24"/>
          <w:szCs w:val="24"/>
        </w:rPr>
        <w:t xml:space="preserve"> </w:t>
      </w:r>
      <w:r w:rsidR="00730AE3" w:rsidRPr="00816DFE">
        <w:rPr>
          <w:rFonts w:eastAsia="Times New Roman" w:cstheme="minorHAnsi"/>
          <w:sz w:val="24"/>
          <w:szCs w:val="24"/>
        </w:rPr>
        <w:t>sh</w:t>
      </w:r>
      <w:r w:rsidR="00730AE3">
        <w:rPr>
          <w:rFonts w:eastAsia="Times New Roman" w:cstheme="minorHAnsi"/>
          <w:sz w:val="24"/>
          <w:szCs w:val="24"/>
        </w:rPr>
        <w:t>aking</w:t>
      </w:r>
      <w:r w:rsidR="00730AE3" w:rsidRPr="00816DFE">
        <w:rPr>
          <w:rFonts w:eastAsia="Times New Roman" w:cstheme="minorHAnsi"/>
          <w:sz w:val="24"/>
          <w:szCs w:val="24"/>
        </w:rPr>
        <w:t xml:space="preserve"> </w:t>
      </w:r>
      <w:r w:rsidRPr="00816DFE">
        <w:rPr>
          <w:rFonts w:eastAsia="Times New Roman" w:cstheme="minorHAnsi"/>
          <w:sz w:val="24"/>
          <w:szCs w:val="24"/>
        </w:rPr>
        <w:t>the financial world and leaving community banks to manage the aftershocks.</w:t>
      </w:r>
    </w:p>
    <w:p w14:paraId="64D6AEEB" w14:textId="77777777" w:rsidR="001E5B0B" w:rsidRPr="00816DFE" w:rsidRDefault="009D79A3" w:rsidP="00D05678">
      <w:pPr>
        <w:shd w:val="clear" w:color="auto" w:fill="FFFFFF"/>
        <w:spacing w:line="276" w:lineRule="auto"/>
        <w:rPr>
          <w:rFonts w:eastAsia="Times New Roman" w:cstheme="minorHAnsi"/>
          <w:sz w:val="24"/>
          <w:szCs w:val="24"/>
        </w:rPr>
      </w:pPr>
      <w:r w:rsidRPr="00816DFE">
        <w:rPr>
          <w:rFonts w:eastAsia="Times New Roman" w:cstheme="minorHAnsi"/>
          <w:sz w:val="24"/>
          <w:szCs w:val="24"/>
        </w:rPr>
        <w:t>Since that time, ICBA has been the sole</w:t>
      </w:r>
      <w:r w:rsidR="006D7D5A" w:rsidRPr="00816DFE">
        <w:rPr>
          <w:rFonts w:cstheme="minorHAnsi"/>
          <w:sz w:val="24"/>
          <w:szCs w:val="24"/>
        </w:rPr>
        <w:t xml:space="preserve"> national</w:t>
      </w:r>
      <w:r w:rsidRPr="00816DFE">
        <w:rPr>
          <w:rFonts w:eastAsia="Times New Roman" w:cstheme="minorHAnsi"/>
          <w:sz w:val="24"/>
          <w:szCs w:val="24"/>
        </w:rPr>
        <w:t xml:space="preserve"> voice representing community banks exclusively </w:t>
      </w:r>
      <w:r w:rsidR="00643666" w:rsidRPr="00816DFE">
        <w:rPr>
          <w:rFonts w:eastAsia="Times New Roman" w:cstheme="minorHAnsi"/>
          <w:sz w:val="24"/>
          <w:szCs w:val="24"/>
        </w:rPr>
        <w:t>to ensure they would not have to pay for the mistakes of large banks</w:t>
      </w:r>
      <w:r w:rsidR="007B77CB" w:rsidRPr="00816DFE">
        <w:rPr>
          <w:rFonts w:eastAsia="Times New Roman" w:cstheme="minorHAnsi"/>
          <w:sz w:val="24"/>
          <w:szCs w:val="24"/>
        </w:rPr>
        <w:t xml:space="preserve">. </w:t>
      </w:r>
      <w:r w:rsidR="00CA62E2" w:rsidRPr="00816DFE">
        <w:rPr>
          <w:rFonts w:eastAsia="Times New Roman" w:cstheme="minorHAnsi"/>
          <w:sz w:val="24"/>
          <w:szCs w:val="24"/>
        </w:rPr>
        <w:t xml:space="preserve">And it’s a community bank </w:t>
      </w:r>
      <w:r w:rsidR="001E5B0B" w:rsidRPr="00816DFE">
        <w:rPr>
          <w:rFonts w:eastAsia="Times New Roman" w:cstheme="minorHAnsi"/>
          <w:sz w:val="24"/>
          <w:szCs w:val="24"/>
        </w:rPr>
        <w:t>success story.</w:t>
      </w:r>
    </w:p>
    <w:p w14:paraId="2BB12BD5" w14:textId="55D45C6F" w:rsidR="0088572D" w:rsidRPr="00816DFE" w:rsidRDefault="00406973" w:rsidP="00D05678">
      <w:pPr>
        <w:shd w:val="clear" w:color="auto" w:fill="FFFFFF"/>
        <w:spacing w:line="276" w:lineRule="auto"/>
        <w:rPr>
          <w:rFonts w:eastAsia="Times New Roman" w:cstheme="minorHAnsi"/>
          <w:sz w:val="24"/>
          <w:szCs w:val="24"/>
        </w:rPr>
      </w:pPr>
      <w:r w:rsidRPr="00816DFE">
        <w:rPr>
          <w:rFonts w:eastAsia="Times New Roman" w:cstheme="minorHAnsi"/>
          <w:sz w:val="24"/>
          <w:szCs w:val="24"/>
        </w:rPr>
        <w:t xml:space="preserve">When </w:t>
      </w:r>
      <w:r w:rsidR="001E5B0B" w:rsidRPr="00816DFE">
        <w:rPr>
          <w:rFonts w:eastAsia="Times New Roman" w:cstheme="minorHAnsi"/>
          <w:sz w:val="24"/>
          <w:szCs w:val="24"/>
        </w:rPr>
        <w:t xml:space="preserve">the FDIC board of directors voted </w:t>
      </w:r>
      <w:r w:rsidRPr="00816DFE">
        <w:rPr>
          <w:rFonts w:eastAsia="Times New Roman" w:cstheme="minorHAnsi"/>
          <w:sz w:val="24"/>
          <w:szCs w:val="24"/>
        </w:rPr>
        <w:t>in favor of a special assessment to replenish the deposit insurance fund</w:t>
      </w:r>
      <w:r w:rsidR="000F5D89" w:rsidRPr="00816DFE">
        <w:rPr>
          <w:rFonts w:eastAsia="Times New Roman" w:cstheme="minorHAnsi"/>
          <w:sz w:val="24"/>
          <w:szCs w:val="24"/>
        </w:rPr>
        <w:t xml:space="preserve"> in November</w:t>
      </w:r>
      <w:r w:rsidRPr="00816DFE">
        <w:rPr>
          <w:rFonts w:eastAsia="Times New Roman" w:cstheme="minorHAnsi"/>
          <w:sz w:val="24"/>
          <w:szCs w:val="24"/>
        </w:rPr>
        <w:t>, it included an ICBA-supported</w:t>
      </w:r>
      <w:r w:rsidR="0088572D" w:rsidRPr="00816DFE">
        <w:rPr>
          <w:rFonts w:eastAsia="Times New Roman" w:cstheme="minorHAnsi"/>
          <w:sz w:val="24"/>
          <w:szCs w:val="24"/>
        </w:rPr>
        <w:t xml:space="preserve"> exemption for </w:t>
      </w:r>
      <w:r w:rsidR="00D05678" w:rsidRPr="00816DFE">
        <w:rPr>
          <w:rFonts w:eastAsia="Times New Roman" w:cstheme="minorHAnsi"/>
          <w:sz w:val="24"/>
          <w:szCs w:val="24"/>
        </w:rPr>
        <w:t>most</w:t>
      </w:r>
      <w:r w:rsidR="0088572D" w:rsidRPr="00816DFE">
        <w:rPr>
          <w:rFonts w:eastAsia="Times New Roman" w:cstheme="minorHAnsi"/>
          <w:sz w:val="24"/>
          <w:szCs w:val="24"/>
        </w:rPr>
        <w:t xml:space="preserve"> community banks. </w:t>
      </w:r>
    </w:p>
    <w:p w14:paraId="5D28F725" w14:textId="01561C58" w:rsidR="003F641B" w:rsidRPr="00816DFE" w:rsidRDefault="000F5D89" w:rsidP="00D05678">
      <w:pPr>
        <w:shd w:val="clear" w:color="auto" w:fill="FFFFFF"/>
        <w:spacing w:line="276" w:lineRule="auto"/>
        <w:rPr>
          <w:rFonts w:eastAsia="Times New Roman" w:cstheme="minorHAnsi"/>
          <w:sz w:val="24"/>
          <w:szCs w:val="24"/>
        </w:rPr>
      </w:pPr>
      <w:r w:rsidRPr="00816DFE">
        <w:rPr>
          <w:rFonts w:eastAsia="Times New Roman" w:cstheme="minorHAnsi"/>
          <w:sz w:val="24"/>
          <w:szCs w:val="24"/>
        </w:rPr>
        <w:t>ICBA’s response to the SVB failure is</w:t>
      </w:r>
      <w:r w:rsidR="003F641B" w:rsidRPr="00816DFE">
        <w:rPr>
          <w:rFonts w:eastAsia="Times New Roman" w:cstheme="minorHAnsi"/>
          <w:sz w:val="24"/>
          <w:szCs w:val="24"/>
        </w:rPr>
        <w:t xml:space="preserve"> a lesson in successful crisis management and advocacy</w:t>
      </w:r>
      <w:r w:rsidR="00F222AD">
        <w:rPr>
          <w:rFonts w:eastAsia="Times New Roman" w:cstheme="minorHAnsi"/>
          <w:sz w:val="24"/>
          <w:szCs w:val="24"/>
        </w:rPr>
        <w:t>,</w:t>
      </w:r>
      <w:r w:rsidR="003F641B" w:rsidRPr="00816DFE">
        <w:rPr>
          <w:rFonts w:eastAsia="Times New Roman" w:cstheme="minorHAnsi"/>
          <w:sz w:val="24"/>
          <w:szCs w:val="24"/>
        </w:rPr>
        <w:t xml:space="preserve"> with ICBA and community bankers working to limit the impact on community banks and ensure their continued strength and viability.</w:t>
      </w:r>
    </w:p>
    <w:p w14:paraId="3A5D938E" w14:textId="4EEAE0E5" w:rsidR="00FF4655" w:rsidRDefault="00FF4655">
      <w:pPr>
        <w:shd w:val="clear" w:color="auto" w:fill="FFFFFF"/>
        <w:spacing w:line="276" w:lineRule="auto"/>
        <w:rPr>
          <w:rFonts w:eastAsia="Times New Roman" w:cstheme="minorHAnsi"/>
          <w:sz w:val="24"/>
          <w:szCs w:val="24"/>
        </w:rPr>
      </w:pPr>
      <w:r w:rsidRPr="00816DFE">
        <w:rPr>
          <w:rFonts w:eastAsia="Times New Roman" w:cstheme="minorHAnsi"/>
          <w:sz w:val="24"/>
          <w:szCs w:val="24"/>
        </w:rPr>
        <w:t xml:space="preserve">Let’s </w:t>
      </w:r>
      <w:r w:rsidR="00D05678" w:rsidRPr="00816DFE">
        <w:rPr>
          <w:rFonts w:eastAsia="Times New Roman" w:cstheme="minorHAnsi"/>
          <w:sz w:val="24"/>
          <w:szCs w:val="24"/>
        </w:rPr>
        <w:t>look</w:t>
      </w:r>
      <w:r w:rsidRPr="00816DFE">
        <w:rPr>
          <w:rFonts w:eastAsia="Times New Roman" w:cstheme="minorHAnsi"/>
          <w:sz w:val="24"/>
          <w:szCs w:val="24"/>
        </w:rPr>
        <w:t xml:space="preserve"> back at how that victory was won.</w:t>
      </w:r>
    </w:p>
    <w:p w14:paraId="54335462" w14:textId="77777777" w:rsidR="00F222AD" w:rsidRPr="00816DFE" w:rsidRDefault="00F222AD" w:rsidP="00D05678">
      <w:pPr>
        <w:shd w:val="clear" w:color="auto" w:fill="FFFFFF"/>
        <w:spacing w:line="276" w:lineRule="auto"/>
        <w:rPr>
          <w:rFonts w:eastAsia="Times New Roman" w:cstheme="minorHAnsi"/>
          <w:sz w:val="24"/>
          <w:szCs w:val="24"/>
        </w:rPr>
      </w:pPr>
    </w:p>
    <w:p w14:paraId="27862E04" w14:textId="767AB4A3" w:rsidR="001549D4" w:rsidRPr="00816DFE" w:rsidRDefault="00730AE3" w:rsidP="00D05678">
      <w:pPr>
        <w:shd w:val="clear" w:color="auto" w:fill="FFFFFF"/>
        <w:spacing w:line="276" w:lineRule="auto"/>
        <w:rPr>
          <w:rFonts w:eastAsia="Times New Roman" w:cstheme="minorHAnsi"/>
          <w:b/>
          <w:bCs/>
          <w:sz w:val="24"/>
          <w:szCs w:val="24"/>
        </w:rPr>
      </w:pPr>
      <w:r>
        <w:rPr>
          <w:rFonts w:eastAsia="Times New Roman" w:cstheme="minorHAnsi"/>
          <w:b/>
          <w:bCs/>
          <w:sz w:val="24"/>
          <w:szCs w:val="24"/>
        </w:rPr>
        <w:t xml:space="preserve">[subhed] </w:t>
      </w:r>
      <w:r w:rsidR="001549D4" w:rsidRPr="00816DFE">
        <w:rPr>
          <w:rFonts w:eastAsia="Times New Roman" w:cstheme="minorHAnsi"/>
          <w:b/>
          <w:bCs/>
          <w:sz w:val="24"/>
          <w:szCs w:val="24"/>
        </w:rPr>
        <w:t>Immediate response</w:t>
      </w:r>
    </w:p>
    <w:p w14:paraId="60C4B6BC" w14:textId="18464F7F" w:rsidR="00A61C5C" w:rsidRPr="00816DFE" w:rsidRDefault="001549D4" w:rsidP="00D05678">
      <w:pPr>
        <w:shd w:val="clear" w:color="auto" w:fill="FFFFFF"/>
        <w:spacing w:line="276" w:lineRule="auto"/>
        <w:rPr>
          <w:rFonts w:eastAsia="Times New Roman" w:cstheme="minorHAnsi"/>
          <w:sz w:val="24"/>
          <w:szCs w:val="24"/>
        </w:rPr>
      </w:pPr>
      <w:r w:rsidRPr="00816DFE">
        <w:rPr>
          <w:rFonts w:eastAsia="Times New Roman" w:cstheme="minorHAnsi"/>
          <w:sz w:val="24"/>
          <w:szCs w:val="24"/>
        </w:rPr>
        <w:t>SVB failed on Friday, March 10</w:t>
      </w:r>
      <w:r w:rsidR="00730AE3">
        <w:rPr>
          <w:rFonts w:eastAsia="Times New Roman" w:cstheme="minorHAnsi"/>
          <w:sz w:val="24"/>
          <w:szCs w:val="24"/>
        </w:rPr>
        <w:t>,</w:t>
      </w:r>
      <w:r w:rsidR="00F222AD">
        <w:rPr>
          <w:rFonts w:eastAsia="Times New Roman" w:cstheme="minorHAnsi"/>
          <w:sz w:val="24"/>
          <w:szCs w:val="24"/>
        </w:rPr>
        <w:t xml:space="preserve"> 2023,</w:t>
      </w:r>
      <w:r w:rsidR="00730AE3">
        <w:rPr>
          <w:rFonts w:eastAsia="Times New Roman" w:cstheme="minorHAnsi"/>
          <w:sz w:val="24"/>
          <w:szCs w:val="24"/>
        </w:rPr>
        <w:t xml:space="preserve"> while community bankers were gathering </w:t>
      </w:r>
      <w:r w:rsidR="00F222AD">
        <w:rPr>
          <w:rFonts w:eastAsia="Times New Roman" w:cstheme="minorHAnsi"/>
          <w:sz w:val="24"/>
          <w:szCs w:val="24"/>
        </w:rPr>
        <w:t xml:space="preserve">in Honolulu </w:t>
      </w:r>
      <w:r w:rsidR="00730AE3">
        <w:rPr>
          <w:rFonts w:eastAsia="Times New Roman" w:cstheme="minorHAnsi"/>
          <w:sz w:val="24"/>
          <w:szCs w:val="24"/>
        </w:rPr>
        <w:t xml:space="preserve">for ICBA LIVE. This failure became </w:t>
      </w:r>
      <w:r w:rsidRPr="00816DFE">
        <w:rPr>
          <w:rFonts w:eastAsia="Times New Roman" w:cstheme="minorHAnsi"/>
          <w:sz w:val="24"/>
          <w:szCs w:val="24"/>
        </w:rPr>
        <w:t>the second largest bank failure in U.S. history</w:t>
      </w:r>
      <w:r w:rsidR="00F222AD">
        <w:rPr>
          <w:rFonts w:eastAsia="Times New Roman" w:cstheme="minorHAnsi"/>
          <w:sz w:val="24"/>
          <w:szCs w:val="24"/>
        </w:rPr>
        <w:t>. S</w:t>
      </w:r>
      <w:r w:rsidR="00AA394D" w:rsidRPr="00816DFE">
        <w:rPr>
          <w:rFonts w:eastAsia="Times New Roman" w:cstheme="minorHAnsi"/>
          <w:sz w:val="24"/>
          <w:szCs w:val="24"/>
        </w:rPr>
        <w:t>ignature Bank</w:t>
      </w:r>
      <w:r w:rsidR="0085333C" w:rsidRPr="00816DFE">
        <w:rPr>
          <w:rFonts w:eastAsia="Times New Roman" w:cstheme="minorHAnsi"/>
          <w:sz w:val="24"/>
          <w:szCs w:val="24"/>
        </w:rPr>
        <w:t>, w</w:t>
      </w:r>
      <w:r w:rsidR="00730AE3">
        <w:rPr>
          <w:rFonts w:eastAsia="Times New Roman" w:cstheme="minorHAnsi"/>
          <w:sz w:val="24"/>
          <w:szCs w:val="24"/>
        </w:rPr>
        <w:t>hich held</w:t>
      </w:r>
      <w:r w:rsidR="0085333C" w:rsidRPr="00816DFE">
        <w:rPr>
          <w:rFonts w:eastAsia="Times New Roman" w:cstheme="minorHAnsi"/>
          <w:sz w:val="24"/>
          <w:szCs w:val="24"/>
        </w:rPr>
        <w:t xml:space="preserve"> $110 billion in assets,</w:t>
      </w:r>
      <w:r w:rsidR="00AA394D" w:rsidRPr="00816DFE">
        <w:rPr>
          <w:rFonts w:eastAsia="Times New Roman" w:cstheme="minorHAnsi"/>
          <w:sz w:val="24"/>
          <w:szCs w:val="24"/>
        </w:rPr>
        <w:t xml:space="preserve"> failed two days later. </w:t>
      </w:r>
    </w:p>
    <w:p w14:paraId="746B17ED" w14:textId="17C8829C" w:rsidR="00AA394D" w:rsidRPr="00816DFE" w:rsidRDefault="00A61C5C" w:rsidP="00D05678">
      <w:pPr>
        <w:shd w:val="clear" w:color="auto" w:fill="FFFFFF"/>
        <w:spacing w:line="276" w:lineRule="auto"/>
        <w:rPr>
          <w:rFonts w:eastAsia="Times New Roman" w:cstheme="minorHAnsi"/>
          <w:sz w:val="24"/>
          <w:szCs w:val="24"/>
        </w:rPr>
      </w:pPr>
      <w:r w:rsidRPr="00816DFE">
        <w:rPr>
          <w:rFonts w:eastAsia="Times New Roman" w:cstheme="minorHAnsi"/>
          <w:sz w:val="24"/>
          <w:szCs w:val="24"/>
        </w:rPr>
        <w:t>The</w:t>
      </w:r>
      <w:r w:rsidR="00030596" w:rsidRPr="00816DFE">
        <w:rPr>
          <w:rFonts w:eastAsia="Times New Roman" w:cstheme="minorHAnsi"/>
          <w:sz w:val="24"/>
          <w:szCs w:val="24"/>
        </w:rPr>
        <w:t xml:space="preserve"> confluence of a banking crisis and the nation’s largest gathering of community bankers </w:t>
      </w:r>
      <w:r w:rsidR="005D0201" w:rsidRPr="00816DFE">
        <w:rPr>
          <w:rFonts w:eastAsia="Times New Roman" w:cstheme="minorHAnsi"/>
          <w:sz w:val="24"/>
          <w:szCs w:val="24"/>
        </w:rPr>
        <w:t>gave</w:t>
      </w:r>
      <w:r w:rsidR="00AA394D" w:rsidRPr="00816DFE">
        <w:rPr>
          <w:rFonts w:eastAsia="Times New Roman" w:cstheme="minorHAnsi"/>
          <w:sz w:val="24"/>
          <w:szCs w:val="24"/>
        </w:rPr>
        <w:t xml:space="preserve"> community bank leaders</w:t>
      </w:r>
      <w:r w:rsidR="00EF6347">
        <w:rPr>
          <w:rFonts w:eastAsia="Times New Roman" w:cstheme="minorHAnsi"/>
          <w:sz w:val="24"/>
          <w:szCs w:val="24"/>
        </w:rPr>
        <w:t xml:space="preserve"> a unique opportunity to work </w:t>
      </w:r>
      <w:r w:rsidR="00AA394D" w:rsidRPr="00816DFE">
        <w:rPr>
          <w:rFonts w:eastAsia="Times New Roman" w:cstheme="minorHAnsi"/>
          <w:sz w:val="24"/>
          <w:szCs w:val="24"/>
        </w:rPr>
        <w:t>together in</w:t>
      </w:r>
      <w:r w:rsidR="00730AE3">
        <w:rPr>
          <w:rFonts w:eastAsia="Times New Roman" w:cstheme="minorHAnsi"/>
          <w:sz w:val="24"/>
          <w:szCs w:val="24"/>
        </w:rPr>
        <w:t xml:space="preserve"> </w:t>
      </w:r>
      <w:r w:rsidR="00AA394D" w:rsidRPr="00816DFE">
        <w:rPr>
          <w:rFonts w:eastAsia="Times New Roman" w:cstheme="minorHAnsi"/>
          <w:sz w:val="24"/>
          <w:szCs w:val="24"/>
        </w:rPr>
        <w:t>person and in real time to understand what was happening</w:t>
      </w:r>
      <w:r w:rsidR="00EF6347">
        <w:rPr>
          <w:rFonts w:eastAsia="Times New Roman" w:cstheme="minorHAnsi"/>
          <w:sz w:val="24"/>
          <w:szCs w:val="24"/>
        </w:rPr>
        <w:t xml:space="preserve">, </w:t>
      </w:r>
      <w:r w:rsidR="00AA394D" w:rsidRPr="00816DFE">
        <w:rPr>
          <w:rFonts w:eastAsia="Times New Roman" w:cstheme="minorHAnsi"/>
          <w:sz w:val="24"/>
          <w:szCs w:val="24"/>
        </w:rPr>
        <w:t>formulate a strategy and set the stage for successful advocacy.</w:t>
      </w:r>
    </w:p>
    <w:p w14:paraId="6AE14B0C" w14:textId="4B81DD94" w:rsidR="00AA394D" w:rsidRPr="00816DFE" w:rsidRDefault="00AA394D" w:rsidP="00D05678">
      <w:pPr>
        <w:shd w:val="clear" w:color="auto" w:fill="FFFFFF"/>
        <w:spacing w:line="276" w:lineRule="auto"/>
        <w:rPr>
          <w:rFonts w:eastAsia="Times New Roman" w:cstheme="minorHAnsi"/>
          <w:sz w:val="24"/>
          <w:szCs w:val="24"/>
        </w:rPr>
      </w:pPr>
    </w:p>
    <w:p w14:paraId="52199295" w14:textId="77777777" w:rsidR="00AA394D" w:rsidRPr="00816DFE" w:rsidRDefault="00AA394D" w:rsidP="00D05678">
      <w:pPr>
        <w:shd w:val="clear" w:color="auto" w:fill="FFFFFF"/>
        <w:spacing w:line="276" w:lineRule="auto"/>
        <w:rPr>
          <w:rFonts w:eastAsia="Times New Roman" w:cstheme="minorHAnsi"/>
          <w:sz w:val="24"/>
          <w:szCs w:val="24"/>
        </w:rPr>
      </w:pPr>
    </w:p>
    <w:p w14:paraId="6DC61A71" w14:textId="67AF66CF" w:rsidR="001A32D0" w:rsidRPr="00816DFE" w:rsidRDefault="001A32D0" w:rsidP="00D05678">
      <w:pPr>
        <w:shd w:val="clear" w:color="auto" w:fill="FFFFFF"/>
        <w:spacing w:line="276" w:lineRule="auto"/>
        <w:rPr>
          <w:rFonts w:eastAsia="Times New Roman" w:cstheme="minorHAnsi"/>
          <w:sz w:val="24"/>
          <w:szCs w:val="24"/>
        </w:rPr>
      </w:pPr>
      <w:r w:rsidRPr="00816DFE">
        <w:rPr>
          <w:rFonts w:eastAsia="Times New Roman" w:cstheme="minorHAnsi"/>
          <w:sz w:val="24"/>
          <w:szCs w:val="24"/>
        </w:rPr>
        <w:t>The government didn’t announce that it would backstop all SVB deposits until Sunday night. It was a harrowing few days</w:t>
      </w:r>
      <w:r w:rsidR="00730AE3">
        <w:rPr>
          <w:rFonts w:eastAsia="Times New Roman" w:cstheme="minorHAnsi"/>
          <w:sz w:val="24"/>
          <w:szCs w:val="24"/>
        </w:rPr>
        <w:t>,</w:t>
      </w:r>
      <w:r w:rsidRPr="00816DFE">
        <w:rPr>
          <w:rFonts w:eastAsia="Times New Roman" w:cstheme="minorHAnsi"/>
          <w:sz w:val="24"/>
          <w:szCs w:val="24"/>
        </w:rPr>
        <w:t xml:space="preserve"> with real worry that depositors would flee to banks perceived as too big to fail. </w:t>
      </w:r>
    </w:p>
    <w:p w14:paraId="59F69761" w14:textId="02475BDD" w:rsidR="009421BB" w:rsidRPr="00816DFE" w:rsidRDefault="00436956" w:rsidP="00D05678">
      <w:pPr>
        <w:shd w:val="clear" w:color="auto" w:fill="FFFFFF"/>
        <w:spacing w:line="276" w:lineRule="auto"/>
        <w:rPr>
          <w:rFonts w:eastAsia="Times New Roman" w:cstheme="minorHAnsi"/>
          <w:sz w:val="24"/>
          <w:szCs w:val="24"/>
        </w:rPr>
      </w:pPr>
      <w:r w:rsidRPr="00816DFE">
        <w:rPr>
          <w:rFonts w:eastAsia="Times New Roman" w:cstheme="minorHAnsi"/>
          <w:sz w:val="24"/>
          <w:szCs w:val="24"/>
        </w:rPr>
        <w:t>That Monday</w:t>
      </w:r>
      <w:r w:rsidR="00730AE3">
        <w:rPr>
          <w:rFonts w:eastAsia="Times New Roman" w:cstheme="minorHAnsi"/>
          <w:sz w:val="24"/>
          <w:szCs w:val="24"/>
        </w:rPr>
        <w:t>,</w:t>
      </w:r>
      <w:r w:rsidRPr="00816DFE">
        <w:rPr>
          <w:rFonts w:eastAsia="Times New Roman" w:cstheme="minorHAnsi"/>
          <w:sz w:val="24"/>
          <w:szCs w:val="24"/>
        </w:rPr>
        <w:t xml:space="preserve"> ICBA released a press release </w:t>
      </w:r>
      <w:r w:rsidR="000E49E7" w:rsidRPr="00816DFE">
        <w:rPr>
          <w:rFonts w:eastAsia="Times New Roman" w:cstheme="minorHAnsi"/>
          <w:sz w:val="24"/>
          <w:szCs w:val="24"/>
        </w:rPr>
        <w:t>highlighting the differences between community banks and the nation’s largest banks</w:t>
      </w:r>
      <w:r w:rsidR="00730AE3">
        <w:rPr>
          <w:rFonts w:eastAsia="Times New Roman" w:cstheme="minorHAnsi"/>
          <w:sz w:val="24"/>
          <w:szCs w:val="24"/>
        </w:rPr>
        <w:t>,</w:t>
      </w:r>
      <w:r w:rsidR="000E49E7" w:rsidRPr="00816DFE">
        <w:rPr>
          <w:rFonts w:eastAsia="Times New Roman" w:cstheme="minorHAnsi"/>
          <w:sz w:val="24"/>
          <w:szCs w:val="24"/>
        </w:rPr>
        <w:t xml:space="preserve"> </w:t>
      </w:r>
      <w:r w:rsidR="00CD5791" w:rsidRPr="00816DFE">
        <w:rPr>
          <w:rFonts w:eastAsia="Times New Roman" w:cstheme="minorHAnsi"/>
          <w:sz w:val="24"/>
          <w:szCs w:val="24"/>
        </w:rPr>
        <w:t xml:space="preserve">vehemently </w:t>
      </w:r>
      <w:r w:rsidR="00EC0E6F" w:rsidRPr="00816DFE">
        <w:rPr>
          <w:rStyle w:val="Emphasis"/>
          <w:rFonts w:cstheme="minorHAnsi"/>
          <w:i w:val="0"/>
          <w:iCs w:val="0"/>
          <w:sz w:val="24"/>
          <w:szCs w:val="24"/>
          <w:shd w:val="clear" w:color="auto" w:fill="FFFFFF"/>
        </w:rPr>
        <w:t>opposing</w:t>
      </w:r>
      <w:r w:rsidR="00395A59" w:rsidRPr="00816DFE">
        <w:rPr>
          <w:rStyle w:val="Emphasis"/>
          <w:rFonts w:cstheme="minorHAnsi"/>
          <w:i w:val="0"/>
          <w:iCs w:val="0"/>
          <w:sz w:val="24"/>
          <w:szCs w:val="24"/>
          <w:shd w:val="clear" w:color="auto" w:fill="FFFFFF"/>
        </w:rPr>
        <w:t xml:space="preserve"> the possibility that</w:t>
      </w:r>
      <w:r w:rsidR="00EC0E6F" w:rsidRPr="00816DFE">
        <w:rPr>
          <w:rStyle w:val="Emphasis"/>
          <w:rFonts w:cstheme="minorHAnsi"/>
          <w:i w:val="0"/>
          <w:iCs w:val="0"/>
          <w:sz w:val="24"/>
          <w:szCs w:val="24"/>
          <w:shd w:val="clear" w:color="auto" w:fill="FFFFFF"/>
        </w:rPr>
        <w:t xml:space="preserve"> community banks </w:t>
      </w:r>
      <w:r w:rsidR="00395A59" w:rsidRPr="00816DFE">
        <w:rPr>
          <w:rStyle w:val="Emphasis"/>
          <w:rFonts w:cstheme="minorHAnsi"/>
          <w:i w:val="0"/>
          <w:iCs w:val="0"/>
          <w:sz w:val="24"/>
          <w:szCs w:val="24"/>
          <w:shd w:val="clear" w:color="auto" w:fill="FFFFFF"/>
        </w:rPr>
        <w:t xml:space="preserve">could </w:t>
      </w:r>
      <w:r w:rsidR="00EC0E6F" w:rsidRPr="00816DFE">
        <w:rPr>
          <w:rStyle w:val="Emphasis"/>
          <w:rFonts w:cstheme="minorHAnsi"/>
          <w:i w:val="0"/>
          <w:iCs w:val="0"/>
          <w:sz w:val="24"/>
          <w:szCs w:val="24"/>
          <w:shd w:val="clear" w:color="auto" w:fill="FFFFFF"/>
        </w:rPr>
        <w:t xml:space="preserve">bear any financial responsibility for potential losses to the </w:t>
      </w:r>
      <w:r w:rsidR="00395A59" w:rsidRPr="00816DFE">
        <w:rPr>
          <w:rStyle w:val="Emphasis"/>
          <w:rFonts w:cstheme="minorHAnsi"/>
          <w:i w:val="0"/>
          <w:iCs w:val="0"/>
          <w:sz w:val="24"/>
          <w:szCs w:val="24"/>
          <w:shd w:val="clear" w:color="auto" w:fill="FFFFFF"/>
        </w:rPr>
        <w:t>deposit insurance fund.</w:t>
      </w:r>
    </w:p>
    <w:p w14:paraId="186134A2" w14:textId="23C2917A" w:rsidR="008A2A57" w:rsidRPr="00816DFE" w:rsidRDefault="004B6A9E" w:rsidP="00D05678">
      <w:pPr>
        <w:shd w:val="clear" w:color="auto" w:fill="FFFFFF"/>
        <w:spacing w:line="276" w:lineRule="auto"/>
        <w:rPr>
          <w:rFonts w:eastAsia="Times New Roman" w:cstheme="minorHAnsi"/>
          <w:sz w:val="24"/>
          <w:szCs w:val="24"/>
        </w:rPr>
      </w:pPr>
      <w:r w:rsidRPr="00816DFE">
        <w:rPr>
          <w:rFonts w:eastAsia="Times New Roman" w:cstheme="minorHAnsi"/>
          <w:sz w:val="24"/>
          <w:szCs w:val="24"/>
        </w:rPr>
        <w:t xml:space="preserve">Individual community bankers also took action. </w:t>
      </w:r>
      <w:r w:rsidR="00BC167E" w:rsidRPr="00816DFE">
        <w:rPr>
          <w:rFonts w:eastAsia="Times New Roman" w:cstheme="minorHAnsi"/>
          <w:sz w:val="24"/>
          <w:szCs w:val="24"/>
        </w:rPr>
        <w:t xml:space="preserve">While </w:t>
      </w:r>
      <w:r w:rsidR="00730AE3">
        <w:rPr>
          <w:rFonts w:eastAsia="Times New Roman" w:cstheme="minorHAnsi"/>
          <w:sz w:val="24"/>
          <w:szCs w:val="24"/>
        </w:rPr>
        <w:t xml:space="preserve">bank </w:t>
      </w:r>
      <w:r w:rsidR="00BC167E" w:rsidRPr="00816DFE">
        <w:rPr>
          <w:rFonts w:eastAsia="Times New Roman" w:cstheme="minorHAnsi"/>
          <w:sz w:val="24"/>
          <w:szCs w:val="24"/>
        </w:rPr>
        <w:t>customers worried</w:t>
      </w:r>
      <w:r w:rsidR="007F3417" w:rsidRPr="00816DFE">
        <w:rPr>
          <w:rFonts w:eastAsia="Times New Roman" w:cstheme="minorHAnsi"/>
          <w:sz w:val="24"/>
          <w:szCs w:val="24"/>
        </w:rPr>
        <w:t xml:space="preserve"> as news reports and social media </w:t>
      </w:r>
      <w:r w:rsidR="00AA6383" w:rsidRPr="00816DFE">
        <w:rPr>
          <w:rFonts w:eastAsia="Times New Roman" w:cstheme="minorHAnsi"/>
          <w:sz w:val="24"/>
          <w:szCs w:val="24"/>
        </w:rPr>
        <w:t>peddled fear</w:t>
      </w:r>
      <w:r w:rsidR="00BC167E" w:rsidRPr="00816DFE">
        <w:rPr>
          <w:rFonts w:eastAsia="Times New Roman" w:cstheme="minorHAnsi"/>
          <w:sz w:val="24"/>
          <w:szCs w:val="24"/>
        </w:rPr>
        <w:t>,</w:t>
      </w:r>
      <w:r w:rsidR="0002448E" w:rsidRPr="00816DFE">
        <w:rPr>
          <w:rFonts w:eastAsia="Times New Roman" w:cstheme="minorHAnsi"/>
          <w:sz w:val="24"/>
          <w:szCs w:val="24"/>
        </w:rPr>
        <w:t xml:space="preserve"> community bankers</w:t>
      </w:r>
      <w:r w:rsidR="00962B65" w:rsidRPr="00816DFE">
        <w:rPr>
          <w:rFonts w:eastAsia="Times New Roman" w:cstheme="minorHAnsi"/>
          <w:sz w:val="24"/>
          <w:szCs w:val="24"/>
        </w:rPr>
        <w:t xml:space="preserve"> proactively reached out to their customers, providing reassurance that their banks remained safe and sound.</w:t>
      </w:r>
      <w:r w:rsidR="00AA6383" w:rsidRPr="00816DFE">
        <w:rPr>
          <w:rFonts w:eastAsia="Times New Roman" w:cstheme="minorHAnsi"/>
          <w:sz w:val="24"/>
          <w:szCs w:val="24"/>
        </w:rPr>
        <w:t xml:space="preserve"> They answered questions and relied on their reputations as trusted advisors</w:t>
      </w:r>
      <w:r w:rsidR="002B0B4B" w:rsidRPr="00816DFE">
        <w:rPr>
          <w:rFonts w:eastAsia="Times New Roman" w:cstheme="minorHAnsi"/>
          <w:sz w:val="24"/>
          <w:szCs w:val="24"/>
        </w:rPr>
        <w:t>. Not only did community banks not experience a deposit run off</w:t>
      </w:r>
      <w:r w:rsidR="00D05678">
        <w:rPr>
          <w:rFonts w:eastAsia="Times New Roman" w:cstheme="minorHAnsi"/>
          <w:sz w:val="24"/>
          <w:szCs w:val="24"/>
        </w:rPr>
        <w:t>;</w:t>
      </w:r>
      <w:r w:rsidR="002B0B4B" w:rsidRPr="00816DFE">
        <w:rPr>
          <w:rFonts w:eastAsia="Times New Roman" w:cstheme="minorHAnsi"/>
          <w:sz w:val="24"/>
          <w:szCs w:val="24"/>
        </w:rPr>
        <w:t xml:space="preserve"> they </w:t>
      </w:r>
      <w:r w:rsidR="00F222AD" w:rsidRPr="00816DFE">
        <w:rPr>
          <w:rFonts w:eastAsia="Times New Roman" w:cstheme="minorHAnsi"/>
          <w:sz w:val="24"/>
          <w:szCs w:val="24"/>
        </w:rPr>
        <w:t>grew</w:t>
      </w:r>
      <w:r w:rsidR="002B0B4B" w:rsidRPr="00816DFE">
        <w:rPr>
          <w:rFonts w:eastAsia="Times New Roman" w:cstheme="minorHAnsi"/>
          <w:sz w:val="24"/>
          <w:szCs w:val="24"/>
        </w:rPr>
        <w:t xml:space="preserve"> their deposits</w:t>
      </w:r>
      <w:r w:rsidR="00730AE3">
        <w:rPr>
          <w:rFonts w:eastAsia="Times New Roman" w:cstheme="minorHAnsi"/>
          <w:sz w:val="24"/>
          <w:szCs w:val="24"/>
        </w:rPr>
        <w:t xml:space="preserve"> in many cases</w:t>
      </w:r>
      <w:r w:rsidR="002B0B4B" w:rsidRPr="00816DFE">
        <w:rPr>
          <w:rFonts w:eastAsia="Times New Roman" w:cstheme="minorHAnsi"/>
          <w:sz w:val="24"/>
          <w:szCs w:val="24"/>
        </w:rPr>
        <w:t>.</w:t>
      </w:r>
    </w:p>
    <w:p w14:paraId="122F8CEE" w14:textId="77777777" w:rsidR="00F222AD" w:rsidRDefault="00F222AD">
      <w:pPr>
        <w:shd w:val="clear" w:color="auto" w:fill="FFFFFF"/>
        <w:spacing w:line="276" w:lineRule="auto"/>
        <w:rPr>
          <w:rFonts w:eastAsia="Times New Roman" w:cstheme="minorHAnsi"/>
          <w:b/>
          <w:bCs/>
          <w:sz w:val="24"/>
          <w:szCs w:val="24"/>
        </w:rPr>
      </w:pPr>
    </w:p>
    <w:p w14:paraId="5B05CD50" w14:textId="7B5BF76A" w:rsidR="005F057C" w:rsidRPr="00816DFE" w:rsidRDefault="00730AE3" w:rsidP="00D05678">
      <w:pPr>
        <w:shd w:val="clear" w:color="auto" w:fill="FFFFFF"/>
        <w:spacing w:line="276" w:lineRule="auto"/>
        <w:rPr>
          <w:rFonts w:eastAsia="Times New Roman" w:cstheme="minorHAnsi"/>
          <w:b/>
          <w:bCs/>
          <w:sz w:val="24"/>
          <w:szCs w:val="24"/>
        </w:rPr>
      </w:pPr>
      <w:r>
        <w:rPr>
          <w:rFonts w:eastAsia="Times New Roman" w:cstheme="minorHAnsi"/>
          <w:b/>
          <w:bCs/>
          <w:sz w:val="24"/>
          <w:szCs w:val="24"/>
        </w:rPr>
        <w:t xml:space="preserve">[subhed] </w:t>
      </w:r>
      <w:r w:rsidR="005F057C" w:rsidRPr="00816DFE">
        <w:rPr>
          <w:rFonts w:eastAsia="Times New Roman" w:cstheme="minorHAnsi"/>
          <w:b/>
          <w:bCs/>
          <w:sz w:val="24"/>
          <w:szCs w:val="24"/>
        </w:rPr>
        <w:t>Regulatory outreach</w:t>
      </w:r>
    </w:p>
    <w:p w14:paraId="6E8C2F70" w14:textId="5528A48A" w:rsidR="00F222AD" w:rsidRDefault="005F057C">
      <w:pPr>
        <w:shd w:val="clear" w:color="auto" w:fill="FFFFFF"/>
        <w:spacing w:line="276" w:lineRule="auto"/>
        <w:rPr>
          <w:rFonts w:eastAsia="Times New Roman" w:cstheme="minorHAnsi"/>
          <w:sz w:val="24"/>
          <w:szCs w:val="24"/>
        </w:rPr>
      </w:pPr>
      <w:r w:rsidRPr="00816DFE">
        <w:rPr>
          <w:rFonts w:eastAsia="Times New Roman" w:cstheme="minorHAnsi"/>
          <w:sz w:val="24"/>
          <w:szCs w:val="24"/>
        </w:rPr>
        <w:t>Once the immediate crisis had passed, ICBA</w:t>
      </w:r>
      <w:r w:rsidR="00471328" w:rsidRPr="00816DFE">
        <w:rPr>
          <w:rFonts w:eastAsia="Times New Roman" w:cstheme="minorHAnsi"/>
          <w:sz w:val="24"/>
          <w:szCs w:val="24"/>
        </w:rPr>
        <w:t xml:space="preserve"> and community bankers took their advocacy directly to the FDIC. In April</w:t>
      </w:r>
      <w:r w:rsidR="00975BA2" w:rsidRPr="00816DFE">
        <w:rPr>
          <w:rFonts w:eastAsia="Times New Roman" w:cstheme="minorHAnsi"/>
          <w:sz w:val="24"/>
          <w:szCs w:val="24"/>
        </w:rPr>
        <w:t>,</w:t>
      </w:r>
      <w:r w:rsidR="00471328" w:rsidRPr="00816DFE">
        <w:rPr>
          <w:rFonts w:eastAsia="Times New Roman" w:cstheme="minorHAnsi"/>
          <w:sz w:val="24"/>
          <w:szCs w:val="24"/>
        </w:rPr>
        <w:t xml:space="preserve"> </w:t>
      </w:r>
      <w:r w:rsidR="00975BA2" w:rsidRPr="00816DFE">
        <w:rPr>
          <w:rFonts w:eastAsia="Times New Roman" w:cstheme="minorHAnsi"/>
          <w:sz w:val="24"/>
          <w:szCs w:val="24"/>
        </w:rPr>
        <w:t xml:space="preserve">ICBA </w:t>
      </w:r>
      <w:r w:rsidR="00F222AD">
        <w:rPr>
          <w:rFonts w:eastAsia="Times New Roman" w:cstheme="minorHAnsi"/>
          <w:sz w:val="24"/>
          <w:szCs w:val="24"/>
        </w:rPr>
        <w:t>p</w:t>
      </w:r>
      <w:r w:rsidR="00975BA2" w:rsidRPr="00816DFE">
        <w:rPr>
          <w:rFonts w:eastAsia="Times New Roman" w:cstheme="minorHAnsi"/>
          <w:sz w:val="24"/>
          <w:szCs w:val="24"/>
        </w:rPr>
        <w:t xml:space="preserve">resident and CEO Rebeca Romero Rainey sent a letter to FDIC </w:t>
      </w:r>
      <w:r w:rsidR="00F222AD">
        <w:rPr>
          <w:rFonts w:eastAsia="Times New Roman" w:cstheme="minorHAnsi"/>
          <w:sz w:val="24"/>
          <w:szCs w:val="24"/>
        </w:rPr>
        <w:t>c</w:t>
      </w:r>
      <w:r w:rsidR="00F222AD" w:rsidRPr="00816DFE">
        <w:rPr>
          <w:rFonts w:eastAsia="Times New Roman" w:cstheme="minorHAnsi"/>
          <w:sz w:val="24"/>
          <w:szCs w:val="24"/>
        </w:rPr>
        <w:t xml:space="preserve">hairman </w:t>
      </w:r>
      <w:r w:rsidR="00975BA2" w:rsidRPr="00816DFE">
        <w:rPr>
          <w:rFonts w:eastAsia="Times New Roman" w:cstheme="minorHAnsi"/>
          <w:sz w:val="24"/>
          <w:szCs w:val="24"/>
        </w:rPr>
        <w:t>Martin Gruenberg</w:t>
      </w:r>
      <w:r w:rsidR="00730AE3">
        <w:rPr>
          <w:rFonts w:eastAsia="Times New Roman" w:cstheme="minorHAnsi"/>
          <w:sz w:val="24"/>
          <w:szCs w:val="24"/>
        </w:rPr>
        <w:t>,</w:t>
      </w:r>
      <w:r w:rsidR="00370DAA" w:rsidRPr="00816DFE">
        <w:rPr>
          <w:rFonts w:eastAsia="Times New Roman" w:cstheme="minorHAnsi"/>
          <w:sz w:val="24"/>
          <w:szCs w:val="24"/>
        </w:rPr>
        <w:t xml:space="preserve"> arguing that</w:t>
      </w:r>
      <w:r w:rsidR="00A74CFB" w:rsidRPr="00816DFE">
        <w:rPr>
          <w:rFonts w:eastAsia="Times New Roman" w:cstheme="minorHAnsi"/>
          <w:sz w:val="24"/>
          <w:szCs w:val="24"/>
        </w:rPr>
        <w:t xml:space="preserve"> </w:t>
      </w:r>
      <w:r w:rsidR="00370DAA" w:rsidRPr="00816DFE">
        <w:rPr>
          <w:rFonts w:eastAsia="Times New Roman" w:cstheme="minorHAnsi"/>
          <w:sz w:val="24"/>
          <w:szCs w:val="24"/>
        </w:rPr>
        <w:t xml:space="preserve">large banks should pay for the special assessment because they </w:t>
      </w:r>
      <w:r w:rsidR="00EF6347">
        <w:rPr>
          <w:rFonts w:eastAsia="Times New Roman" w:cstheme="minorHAnsi"/>
          <w:sz w:val="24"/>
          <w:szCs w:val="24"/>
        </w:rPr>
        <w:t>we</w:t>
      </w:r>
      <w:r w:rsidR="00370DAA" w:rsidRPr="00816DFE">
        <w:rPr>
          <w:rFonts w:eastAsia="Times New Roman" w:cstheme="minorHAnsi"/>
          <w:sz w:val="24"/>
          <w:szCs w:val="24"/>
        </w:rPr>
        <w:t>re the chief beneficiaries of</w:t>
      </w:r>
      <w:r w:rsidR="001315AF" w:rsidRPr="00816DFE">
        <w:rPr>
          <w:rFonts w:eastAsia="Times New Roman" w:cstheme="minorHAnsi"/>
          <w:sz w:val="24"/>
          <w:szCs w:val="24"/>
        </w:rPr>
        <w:t xml:space="preserve"> SVB and Signature Bank’s</w:t>
      </w:r>
      <w:r w:rsidR="00370DAA" w:rsidRPr="00816DFE">
        <w:rPr>
          <w:rFonts w:eastAsia="Times New Roman" w:cstheme="minorHAnsi"/>
          <w:sz w:val="24"/>
          <w:szCs w:val="24"/>
        </w:rPr>
        <w:t xml:space="preserve"> receiverships and the FDIC’s decision to cover any losses of their uninsured depositors.</w:t>
      </w:r>
      <w:r w:rsidR="00D864B9" w:rsidRPr="00816DFE">
        <w:rPr>
          <w:rFonts w:eastAsia="Times New Roman" w:cstheme="minorHAnsi"/>
          <w:sz w:val="24"/>
          <w:szCs w:val="24"/>
        </w:rPr>
        <w:t xml:space="preserve"> </w:t>
      </w:r>
    </w:p>
    <w:p w14:paraId="0297B649" w14:textId="133D15E8" w:rsidR="00D864B9" w:rsidRPr="00816DFE" w:rsidRDefault="00F222AD" w:rsidP="00D05678">
      <w:pPr>
        <w:shd w:val="clear" w:color="auto" w:fill="FFFFFF"/>
        <w:spacing w:line="276" w:lineRule="auto"/>
        <w:rPr>
          <w:rFonts w:eastAsia="Times New Roman" w:cstheme="minorHAnsi"/>
          <w:sz w:val="24"/>
          <w:szCs w:val="24"/>
        </w:rPr>
      </w:pPr>
      <w:r>
        <w:rPr>
          <w:rFonts w:eastAsia="Times New Roman" w:cstheme="minorHAnsi"/>
          <w:sz w:val="24"/>
          <w:szCs w:val="24"/>
        </w:rPr>
        <w:t>Romero Rainey</w:t>
      </w:r>
      <w:r w:rsidRPr="00816DFE">
        <w:rPr>
          <w:rFonts w:eastAsia="Times New Roman" w:cstheme="minorHAnsi"/>
          <w:sz w:val="24"/>
          <w:szCs w:val="24"/>
        </w:rPr>
        <w:t xml:space="preserve"> </w:t>
      </w:r>
      <w:r w:rsidR="00D864B9" w:rsidRPr="00816DFE">
        <w:rPr>
          <w:rFonts w:eastAsia="Times New Roman" w:cstheme="minorHAnsi"/>
          <w:sz w:val="24"/>
          <w:szCs w:val="24"/>
        </w:rPr>
        <w:t xml:space="preserve">cited </w:t>
      </w:r>
      <w:r w:rsidR="00D864B9" w:rsidRPr="00816DFE">
        <w:rPr>
          <w:rFonts w:cstheme="minorHAnsi"/>
          <w:sz w:val="24"/>
          <w:szCs w:val="24"/>
          <w:shd w:val="clear" w:color="auto" w:fill="FFFFFF"/>
        </w:rPr>
        <w:t xml:space="preserve">Gruenberg’s congressional testimony </w:t>
      </w:r>
      <w:r w:rsidR="006445AB" w:rsidRPr="00816DFE">
        <w:rPr>
          <w:rFonts w:cstheme="minorHAnsi"/>
          <w:sz w:val="24"/>
          <w:szCs w:val="24"/>
          <w:shd w:val="clear" w:color="auto" w:fill="FFFFFF"/>
        </w:rPr>
        <w:t xml:space="preserve">that the FDIC has discretion over the design and timeframe of special assessments under </w:t>
      </w:r>
      <w:r w:rsidR="00D864B9" w:rsidRPr="00816DFE">
        <w:rPr>
          <w:rFonts w:cstheme="minorHAnsi"/>
          <w:sz w:val="24"/>
          <w:szCs w:val="24"/>
          <w:shd w:val="clear" w:color="auto" w:fill="FFFFFF"/>
        </w:rPr>
        <w:t>the Federal Deposit Insurance Act</w:t>
      </w:r>
      <w:r w:rsidR="0055026F" w:rsidRPr="00816DFE">
        <w:rPr>
          <w:rFonts w:cstheme="minorHAnsi"/>
          <w:sz w:val="24"/>
          <w:szCs w:val="24"/>
          <w:shd w:val="clear" w:color="auto" w:fill="FFFFFF"/>
        </w:rPr>
        <w:t xml:space="preserve"> and </w:t>
      </w:r>
      <w:r w:rsidR="00730AE3">
        <w:rPr>
          <w:rFonts w:cstheme="minorHAnsi"/>
          <w:sz w:val="24"/>
          <w:szCs w:val="24"/>
          <w:shd w:val="clear" w:color="auto" w:fill="FFFFFF"/>
        </w:rPr>
        <w:t xml:space="preserve">how </w:t>
      </w:r>
      <w:r w:rsidR="0055026F" w:rsidRPr="00816DFE">
        <w:rPr>
          <w:rFonts w:cstheme="minorHAnsi"/>
          <w:sz w:val="24"/>
          <w:szCs w:val="24"/>
          <w:shd w:val="clear" w:color="auto" w:fill="FFFFFF"/>
        </w:rPr>
        <w:t xml:space="preserve">it </w:t>
      </w:r>
      <w:r>
        <w:rPr>
          <w:rFonts w:cstheme="minorHAnsi"/>
          <w:sz w:val="24"/>
          <w:szCs w:val="24"/>
          <w:shd w:val="clear" w:color="auto" w:fill="FFFFFF"/>
        </w:rPr>
        <w:t xml:space="preserve">was </w:t>
      </w:r>
      <w:r w:rsidR="0055026F" w:rsidRPr="00816DFE">
        <w:rPr>
          <w:rFonts w:cstheme="minorHAnsi"/>
          <w:sz w:val="24"/>
          <w:szCs w:val="24"/>
          <w:shd w:val="clear" w:color="auto" w:fill="FFFFFF"/>
        </w:rPr>
        <w:t>required</w:t>
      </w:r>
      <w:r w:rsidR="00D864B9" w:rsidRPr="00816DFE">
        <w:rPr>
          <w:rFonts w:cstheme="minorHAnsi"/>
          <w:sz w:val="24"/>
          <w:szCs w:val="24"/>
          <w:shd w:val="clear" w:color="auto" w:fill="FFFFFF"/>
        </w:rPr>
        <w:t xml:space="preserve"> to consider the types of entities that benefit from its actions. </w:t>
      </w:r>
    </w:p>
    <w:p w14:paraId="1D42DD51" w14:textId="0EEAB5B4" w:rsidR="00370DAA" w:rsidRPr="00816DFE" w:rsidRDefault="00370DAA" w:rsidP="00D05678">
      <w:pPr>
        <w:shd w:val="clear" w:color="auto" w:fill="FFFFFF"/>
        <w:spacing w:line="276" w:lineRule="auto"/>
        <w:rPr>
          <w:rFonts w:eastAsia="Times New Roman" w:cstheme="minorHAnsi"/>
          <w:sz w:val="24"/>
          <w:szCs w:val="24"/>
        </w:rPr>
      </w:pPr>
      <w:r w:rsidRPr="00816DFE">
        <w:rPr>
          <w:rFonts w:eastAsia="Times New Roman" w:cstheme="minorHAnsi"/>
          <w:sz w:val="24"/>
          <w:szCs w:val="24"/>
        </w:rPr>
        <w:t>“Community banks and their customers shouldn’t have to pay for the miscalculations and speculative practices of large financial institutions like SVB and Signature,” Romero Rainey wrote. “If any assessment increase is warranted, it should be imposed on the institutions that pose the most risk to the DIF—not community banks.”</w:t>
      </w:r>
    </w:p>
    <w:p w14:paraId="6064FAAB" w14:textId="297E1B9B" w:rsidR="00471328" w:rsidRDefault="00AB27E5">
      <w:pPr>
        <w:shd w:val="clear" w:color="auto" w:fill="FFFFFF"/>
        <w:spacing w:line="276" w:lineRule="auto"/>
        <w:rPr>
          <w:rFonts w:cstheme="minorHAnsi"/>
          <w:sz w:val="24"/>
          <w:szCs w:val="24"/>
          <w:shd w:val="clear" w:color="auto" w:fill="FFFFFF"/>
        </w:rPr>
      </w:pPr>
      <w:r w:rsidRPr="00816DFE">
        <w:rPr>
          <w:rFonts w:eastAsia="Times New Roman" w:cstheme="minorHAnsi"/>
          <w:sz w:val="24"/>
          <w:szCs w:val="24"/>
        </w:rPr>
        <w:t xml:space="preserve">ICBA had allies </w:t>
      </w:r>
      <w:r w:rsidR="0018079B" w:rsidRPr="00816DFE">
        <w:rPr>
          <w:rFonts w:eastAsia="Times New Roman" w:cstheme="minorHAnsi"/>
          <w:sz w:val="24"/>
          <w:szCs w:val="24"/>
        </w:rPr>
        <w:t xml:space="preserve">supporting this view. </w:t>
      </w:r>
      <w:r w:rsidR="00D71DC0" w:rsidRPr="00816DFE">
        <w:rPr>
          <w:rFonts w:eastAsia="Times New Roman" w:cstheme="minorHAnsi"/>
          <w:sz w:val="24"/>
          <w:szCs w:val="24"/>
        </w:rPr>
        <w:t>The</w:t>
      </w:r>
      <w:r w:rsidR="0021306D" w:rsidRPr="00816DFE">
        <w:rPr>
          <w:rFonts w:eastAsia="Times New Roman" w:cstheme="minorHAnsi"/>
          <w:sz w:val="24"/>
          <w:szCs w:val="24"/>
        </w:rPr>
        <w:t xml:space="preserve"> Biden administration called on the </w:t>
      </w:r>
      <w:r w:rsidR="00D71DC0" w:rsidRPr="00816DFE">
        <w:rPr>
          <w:rFonts w:cstheme="minorHAnsi"/>
          <w:sz w:val="24"/>
          <w:szCs w:val="24"/>
          <w:shd w:val="clear" w:color="auto" w:fill="FFFFFF"/>
        </w:rPr>
        <w:t xml:space="preserve">FDIC to ensure the costs of replenishing the DIF </w:t>
      </w:r>
      <w:r w:rsidR="00F222AD">
        <w:rPr>
          <w:rFonts w:cstheme="minorHAnsi"/>
          <w:sz w:val="24"/>
          <w:szCs w:val="24"/>
          <w:shd w:val="clear" w:color="auto" w:fill="FFFFFF"/>
        </w:rPr>
        <w:t>we</w:t>
      </w:r>
      <w:r w:rsidR="00F222AD" w:rsidRPr="00816DFE">
        <w:rPr>
          <w:rFonts w:cstheme="minorHAnsi"/>
          <w:sz w:val="24"/>
          <w:szCs w:val="24"/>
          <w:shd w:val="clear" w:color="auto" w:fill="FFFFFF"/>
        </w:rPr>
        <w:t xml:space="preserve">re </w:t>
      </w:r>
      <w:r w:rsidR="00D71DC0" w:rsidRPr="00816DFE">
        <w:rPr>
          <w:rFonts w:cstheme="minorHAnsi"/>
          <w:sz w:val="24"/>
          <w:szCs w:val="24"/>
          <w:shd w:val="clear" w:color="auto" w:fill="FFFFFF"/>
        </w:rPr>
        <w:t>not borne by community banks.</w:t>
      </w:r>
    </w:p>
    <w:p w14:paraId="071DE9DA" w14:textId="77777777" w:rsidR="00F222AD" w:rsidRPr="00816DFE" w:rsidRDefault="00F222AD" w:rsidP="00D05678">
      <w:pPr>
        <w:shd w:val="clear" w:color="auto" w:fill="FFFFFF"/>
        <w:spacing w:line="276" w:lineRule="auto"/>
        <w:rPr>
          <w:rFonts w:cstheme="minorHAnsi"/>
          <w:sz w:val="24"/>
          <w:szCs w:val="24"/>
          <w:shd w:val="clear" w:color="auto" w:fill="FFFFFF"/>
        </w:rPr>
      </w:pPr>
    </w:p>
    <w:p w14:paraId="4F2D4A9A" w14:textId="570D6A0F" w:rsidR="002A3858" w:rsidRPr="00816DFE" w:rsidRDefault="00730AE3" w:rsidP="00D05678">
      <w:pPr>
        <w:shd w:val="clear" w:color="auto" w:fill="FFFFFF"/>
        <w:spacing w:line="276" w:lineRule="auto"/>
        <w:rPr>
          <w:rFonts w:cstheme="minorHAnsi"/>
          <w:b/>
          <w:bCs/>
          <w:sz w:val="24"/>
          <w:szCs w:val="24"/>
          <w:shd w:val="clear" w:color="auto" w:fill="FFFFFF"/>
        </w:rPr>
      </w:pPr>
      <w:r>
        <w:rPr>
          <w:rFonts w:cstheme="minorHAnsi"/>
          <w:b/>
          <w:bCs/>
          <w:sz w:val="24"/>
          <w:szCs w:val="24"/>
          <w:shd w:val="clear" w:color="auto" w:fill="FFFFFF"/>
        </w:rPr>
        <w:t xml:space="preserve">[subhed] </w:t>
      </w:r>
      <w:r w:rsidR="002A3858" w:rsidRPr="00816DFE">
        <w:rPr>
          <w:rFonts w:cstheme="minorHAnsi"/>
          <w:b/>
          <w:bCs/>
          <w:sz w:val="24"/>
          <w:szCs w:val="24"/>
          <w:shd w:val="clear" w:color="auto" w:fill="FFFFFF"/>
        </w:rPr>
        <w:t xml:space="preserve">Supporting </w:t>
      </w:r>
      <w:r w:rsidR="00015B0A" w:rsidRPr="00816DFE">
        <w:rPr>
          <w:rFonts w:cstheme="minorHAnsi"/>
          <w:b/>
          <w:bCs/>
          <w:sz w:val="24"/>
          <w:szCs w:val="24"/>
          <w:shd w:val="clear" w:color="auto" w:fill="FFFFFF"/>
        </w:rPr>
        <w:t>a community bank exception</w:t>
      </w:r>
    </w:p>
    <w:p w14:paraId="1B49C92E" w14:textId="49652FE6" w:rsidR="00413B57" w:rsidRPr="00816DFE" w:rsidRDefault="00015B0A" w:rsidP="00D05678">
      <w:pPr>
        <w:pStyle w:val="NormalWeb"/>
        <w:shd w:val="clear" w:color="auto" w:fill="FFFFFF"/>
        <w:spacing w:before="0" w:beforeAutospacing="0" w:after="160" w:afterAutospacing="0" w:line="276" w:lineRule="auto"/>
        <w:rPr>
          <w:rFonts w:asciiTheme="minorHAnsi" w:hAnsiTheme="minorHAnsi" w:cstheme="minorHAnsi"/>
        </w:rPr>
      </w:pPr>
      <w:r w:rsidRPr="00816DFE">
        <w:rPr>
          <w:rFonts w:asciiTheme="minorHAnsi" w:hAnsiTheme="minorHAnsi" w:cstheme="minorHAnsi"/>
          <w:shd w:val="clear" w:color="auto" w:fill="FFFFFF"/>
        </w:rPr>
        <w:lastRenderedPageBreak/>
        <w:t xml:space="preserve">When the FDIC released its </w:t>
      </w:r>
      <w:r w:rsidR="00E500DF" w:rsidRPr="00816DFE">
        <w:rPr>
          <w:rFonts w:asciiTheme="minorHAnsi" w:hAnsiTheme="minorHAnsi" w:cstheme="minorHAnsi"/>
          <w:shd w:val="clear" w:color="auto" w:fill="FFFFFF"/>
        </w:rPr>
        <w:t xml:space="preserve">notice of proposed rulemaking for the special assessments, </w:t>
      </w:r>
      <w:r w:rsidR="006B2E68" w:rsidRPr="00816DFE">
        <w:rPr>
          <w:rFonts w:asciiTheme="minorHAnsi" w:hAnsiTheme="minorHAnsi" w:cstheme="minorHAnsi"/>
          <w:shd w:val="clear" w:color="auto" w:fill="FFFFFF"/>
        </w:rPr>
        <w:t>it reflected ICBA’s viewpoint</w:t>
      </w:r>
      <w:r w:rsidR="003B3BC2" w:rsidRPr="00816DFE">
        <w:rPr>
          <w:rFonts w:asciiTheme="minorHAnsi" w:hAnsiTheme="minorHAnsi" w:cstheme="minorHAnsi"/>
          <w:shd w:val="clear" w:color="auto" w:fill="FFFFFF"/>
        </w:rPr>
        <w:t>, exempting</w:t>
      </w:r>
      <w:r w:rsidR="006F6816" w:rsidRPr="00816DFE">
        <w:rPr>
          <w:rFonts w:asciiTheme="minorHAnsi" w:hAnsiTheme="minorHAnsi" w:cstheme="minorHAnsi"/>
          <w:shd w:val="clear" w:color="auto" w:fill="FFFFFF"/>
        </w:rPr>
        <w:t xml:space="preserve"> community banks with less than $5 billion in asset</w:t>
      </w:r>
      <w:r w:rsidR="003B3BC2" w:rsidRPr="00816DFE">
        <w:rPr>
          <w:rFonts w:asciiTheme="minorHAnsi" w:hAnsiTheme="minorHAnsi" w:cstheme="minorHAnsi"/>
          <w:shd w:val="clear" w:color="auto" w:fill="FFFFFF"/>
        </w:rPr>
        <w:t>s</w:t>
      </w:r>
      <w:r w:rsidR="006B2E68" w:rsidRPr="00816DFE">
        <w:rPr>
          <w:rFonts w:asciiTheme="minorHAnsi" w:hAnsiTheme="minorHAnsi" w:cstheme="minorHAnsi"/>
          <w:shd w:val="clear" w:color="auto" w:fill="FFFFFF"/>
        </w:rPr>
        <w:t>.</w:t>
      </w:r>
      <w:r w:rsidR="00413B57" w:rsidRPr="00816DFE">
        <w:rPr>
          <w:rFonts w:asciiTheme="minorHAnsi" w:hAnsiTheme="minorHAnsi" w:cstheme="minorHAnsi"/>
          <w:shd w:val="clear" w:color="auto" w:fill="FFFFFF"/>
        </w:rPr>
        <w:t xml:space="preserve"> It also </w:t>
      </w:r>
      <w:r w:rsidR="00413B57" w:rsidRPr="00816DFE">
        <w:rPr>
          <w:rFonts w:asciiTheme="minorHAnsi" w:hAnsiTheme="minorHAnsi" w:cstheme="minorHAnsi"/>
        </w:rPr>
        <w:t xml:space="preserve">tied </w:t>
      </w:r>
      <w:r w:rsidR="00E53A64" w:rsidRPr="00816DFE">
        <w:rPr>
          <w:rFonts w:asciiTheme="minorHAnsi" w:hAnsiTheme="minorHAnsi" w:cstheme="minorHAnsi"/>
        </w:rPr>
        <w:t xml:space="preserve">an institution’s special assessment to its </w:t>
      </w:r>
      <w:r w:rsidR="00413B57" w:rsidRPr="00816DFE">
        <w:rPr>
          <w:rFonts w:asciiTheme="minorHAnsi" w:hAnsiTheme="minorHAnsi" w:cstheme="minorHAnsi"/>
        </w:rPr>
        <w:t>estimated uninsured deposits.</w:t>
      </w:r>
    </w:p>
    <w:p w14:paraId="1E40EE28" w14:textId="65F5D73B" w:rsidR="00F222AD" w:rsidRDefault="00E500DF">
      <w:pPr>
        <w:shd w:val="clear" w:color="auto" w:fill="FFFFFF"/>
        <w:spacing w:line="276" w:lineRule="auto"/>
        <w:rPr>
          <w:rFonts w:cstheme="minorHAnsi"/>
          <w:sz w:val="24"/>
          <w:szCs w:val="24"/>
          <w:shd w:val="clear" w:color="auto" w:fill="FFFFFF"/>
        </w:rPr>
      </w:pPr>
      <w:r w:rsidRPr="00816DFE">
        <w:rPr>
          <w:rFonts w:cstheme="minorHAnsi"/>
          <w:sz w:val="24"/>
          <w:szCs w:val="24"/>
          <w:shd w:val="clear" w:color="auto" w:fill="FFFFFF"/>
        </w:rPr>
        <w:t xml:space="preserve">ICBA </w:t>
      </w:r>
      <w:r w:rsidR="003B3BC2" w:rsidRPr="00816DFE">
        <w:rPr>
          <w:rFonts w:cstheme="minorHAnsi"/>
          <w:sz w:val="24"/>
          <w:szCs w:val="24"/>
          <w:shd w:val="clear" w:color="auto" w:fill="FFFFFF"/>
        </w:rPr>
        <w:t xml:space="preserve">applauded the FDIC’s proposal in </w:t>
      </w:r>
      <w:r w:rsidRPr="00816DFE">
        <w:rPr>
          <w:rFonts w:cstheme="minorHAnsi"/>
          <w:sz w:val="24"/>
          <w:szCs w:val="24"/>
          <w:shd w:val="clear" w:color="auto" w:fill="FFFFFF"/>
        </w:rPr>
        <w:t>a July</w:t>
      </w:r>
      <w:r w:rsidR="00F222AD">
        <w:rPr>
          <w:rFonts w:cstheme="minorHAnsi"/>
          <w:sz w:val="24"/>
          <w:szCs w:val="24"/>
          <w:shd w:val="clear" w:color="auto" w:fill="FFFFFF"/>
        </w:rPr>
        <w:t xml:space="preserve"> 2023</w:t>
      </w:r>
      <w:r w:rsidRPr="00816DFE">
        <w:rPr>
          <w:rFonts w:cstheme="minorHAnsi"/>
          <w:sz w:val="24"/>
          <w:szCs w:val="24"/>
          <w:shd w:val="clear" w:color="auto" w:fill="FFFFFF"/>
        </w:rPr>
        <w:t xml:space="preserve"> comment letter</w:t>
      </w:r>
      <w:r w:rsidR="003B3BC2" w:rsidRPr="00816DFE">
        <w:rPr>
          <w:rFonts w:cstheme="minorHAnsi"/>
          <w:sz w:val="24"/>
          <w:szCs w:val="24"/>
          <w:shd w:val="clear" w:color="auto" w:fill="FFFFFF"/>
        </w:rPr>
        <w:t xml:space="preserve">, encouraging the agency to </w:t>
      </w:r>
      <w:r w:rsidR="00A677AB" w:rsidRPr="00816DFE">
        <w:rPr>
          <w:rFonts w:cstheme="minorHAnsi"/>
          <w:sz w:val="24"/>
          <w:szCs w:val="24"/>
          <w:shd w:val="clear" w:color="auto" w:fill="FFFFFF"/>
        </w:rPr>
        <w:t xml:space="preserve">finalize the proposal as-is. </w:t>
      </w:r>
      <w:r w:rsidR="001601E8" w:rsidRPr="00816DFE">
        <w:rPr>
          <w:rFonts w:cstheme="minorHAnsi"/>
          <w:sz w:val="24"/>
          <w:szCs w:val="24"/>
          <w:shd w:val="clear" w:color="auto" w:fill="FFFFFF"/>
        </w:rPr>
        <w:t xml:space="preserve">Community bankers added their letters of support through an ICBA grassroots advocacy campaign. </w:t>
      </w:r>
      <w:r w:rsidR="0021104B" w:rsidRPr="00816DFE">
        <w:rPr>
          <w:rFonts w:cstheme="minorHAnsi"/>
          <w:sz w:val="24"/>
          <w:szCs w:val="24"/>
          <w:shd w:val="clear" w:color="auto" w:fill="FFFFFF"/>
        </w:rPr>
        <w:t>More than 80</w:t>
      </w:r>
      <w:r w:rsidR="00730AE3">
        <w:rPr>
          <w:rFonts w:cstheme="minorHAnsi"/>
          <w:sz w:val="24"/>
          <w:szCs w:val="24"/>
          <w:shd w:val="clear" w:color="auto" w:fill="FFFFFF"/>
        </w:rPr>
        <w:t>%</w:t>
      </w:r>
      <w:r w:rsidR="0021104B" w:rsidRPr="00816DFE">
        <w:rPr>
          <w:rFonts w:cstheme="minorHAnsi"/>
          <w:sz w:val="24"/>
          <w:szCs w:val="24"/>
          <w:shd w:val="clear" w:color="auto" w:fill="FFFFFF"/>
        </w:rPr>
        <w:t xml:space="preserve"> of the </w:t>
      </w:r>
      <w:r w:rsidR="00923CD8" w:rsidRPr="00816DFE">
        <w:rPr>
          <w:rFonts w:cstheme="minorHAnsi"/>
          <w:sz w:val="24"/>
          <w:szCs w:val="24"/>
          <w:shd w:val="clear" w:color="auto" w:fill="FFFFFF"/>
        </w:rPr>
        <w:t xml:space="preserve">more than 230 letters submitted to the ICBA came from ICBA members. </w:t>
      </w:r>
    </w:p>
    <w:p w14:paraId="04EAFDCA" w14:textId="615C8B1A" w:rsidR="00C45F4B" w:rsidRPr="00816DFE" w:rsidRDefault="001A65D0" w:rsidP="00D05678">
      <w:pPr>
        <w:shd w:val="clear" w:color="auto" w:fill="FFFFFF"/>
        <w:spacing w:line="276" w:lineRule="auto"/>
        <w:rPr>
          <w:rFonts w:cstheme="minorHAnsi"/>
          <w:sz w:val="24"/>
          <w:szCs w:val="24"/>
        </w:rPr>
      </w:pPr>
      <w:r w:rsidRPr="00816DFE">
        <w:rPr>
          <w:rFonts w:cstheme="minorHAnsi"/>
          <w:sz w:val="24"/>
          <w:szCs w:val="24"/>
          <w:shd w:val="clear" w:color="auto" w:fill="FFFFFF"/>
        </w:rPr>
        <w:t>This</w:t>
      </w:r>
      <w:r w:rsidR="000B66E4">
        <w:rPr>
          <w:rFonts w:cstheme="minorHAnsi"/>
          <w:sz w:val="24"/>
          <w:szCs w:val="24"/>
          <w:shd w:val="clear" w:color="auto" w:fill="FFFFFF"/>
        </w:rPr>
        <w:t xml:space="preserve"> united</w:t>
      </w:r>
      <w:r w:rsidRPr="00816DFE">
        <w:rPr>
          <w:rFonts w:cstheme="minorHAnsi"/>
          <w:sz w:val="24"/>
          <w:szCs w:val="24"/>
          <w:shd w:val="clear" w:color="auto" w:fill="FFFFFF"/>
        </w:rPr>
        <w:t xml:space="preserve"> chorus of individual</w:t>
      </w:r>
      <w:r w:rsidR="00F222AD">
        <w:rPr>
          <w:rFonts w:cstheme="minorHAnsi"/>
          <w:sz w:val="24"/>
          <w:szCs w:val="24"/>
          <w:shd w:val="clear" w:color="auto" w:fill="FFFFFF"/>
        </w:rPr>
        <w:t>s</w:t>
      </w:r>
      <w:r w:rsidRPr="00816DFE">
        <w:rPr>
          <w:rFonts w:cstheme="minorHAnsi"/>
          <w:sz w:val="24"/>
          <w:szCs w:val="24"/>
          <w:shd w:val="clear" w:color="auto" w:fill="FFFFFF"/>
        </w:rPr>
        <w:t xml:space="preserve"> </w:t>
      </w:r>
      <w:r w:rsidR="002D19D7" w:rsidRPr="00816DFE">
        <w:rPr>
          <w:rFonts w:cstheme="minorHAnsi"/>
          <w:sz w:val="24"/>
          <w:szCs w:val="24"/>
          <w:shd w:val="clear" w:color="auto" w:fill="FFFFFF"/>
        </w:rPr>
        <w:t>contrasted with groups representing larger institutions</w:t>
      </w:r>
      <w:r w:rsidR="00E118D6" w:rsidRPr="00816DFE">
        <w:rPr>
          <w:rFonts w:cstheme="minorHAnsi"/>
          <w:sz w:val="24"/>
          <w:szCs w:val="24"/>
          <w:shd w:val="clear" w:color="auto" w:fill="FFFFFF"/>
        </w:rPr>
        <w:t>, which were</w:t>
      </w:r>
      <w:r w:rsidR="006F4D7E" w:rsidRPr="00816DFE">
        <w:rPr>
          <w:rFonts w:cstheme="minorHAnsi"/>
          <w:sz w:val="24"/>
          <w:szCs w:val="24"/>
          <w:shd w:val="clear" w:color="auto" w:fill="FFFFFF"/>
        </w:rPr>
        <w:t xml:space="preserve"> </w:t>
      </w:r>
      <w:r w:rsidR="00C45F4B" w:rsidRPr="00816DFE">
        <w:rPr>
          <w:rFonts w:cstheme="minorHAnsi"/>
          <w:sz w:val="24"/>
          <w:szCs w:val="24"/>
        </w:rPr>
        <w:t>neutral</w:t>
      </w:r>
      <w:r w:rsidR="00E118D6" w:rsidRPr="00816DFE">
        <w:rPr>
          <w:rFonts w:cstheme="minorHAnsi"/>
          <w:sz w:val="24"/>
          <w:szCs w:val="24"/>
        </w:rPr>
        <w:t xml:space="preserve"> or opposed </w:t>
      </w:r>
      <w:r w:rsidR="000B66E4">
        <w:rPr>
          <w:rFonts w:cstheme="minorHAnsi"/>
          <w:sz w:val="24"/>
          <w:szCs w:val="24"/>
        </w:rPr>
        <w:t xml:space="preserve">to </w:t>
      </w:r>
      <w:r w:rsidR="00E118D6" w:rsidRPr="00816DFE">
        <w:rPr>
          <w:rFonts w:cstheme="minorHAnsi"/>
          <w:sz w:val="24"/>
          <w:szCs w:val="24"/>
        </w:rPr>
        <w:t>the FDIC’s proposed approa</w:t>
      </w:r>
      <w:r w:rsidR="00B36780" w:rsidRPr="00816DFE">
        <w:rPr>
          <w:rFonts w:cstheme="minorHAnsi"/>
          <w:sz w:val="24"/>
          <w:szCs w:val="24"/>
        </w:rPr>
        <w:t xml:space="preserve">ch for calculating the assessment. </w:t>
      </w:r>
    </w:p>
    <w:p w14:paraId="58F6434E" w14:textId="671F990F" w:rsidR="00BC167E" w:rsidRDefault="0020383F">
      <w:pPr>
        <w:shd w:val="clear" w:color="auto" w:fill="FFFFFF"/>
        <w:spacing w:line="276" w:lineRule="auto"/>
        <w:rPr>
          <w:rFonts w:cstheme="minorHAnsi"/>
          <w:sz w:val="24"/>
          <w:szCs w:val="24"/>
        </w:rPr>
      </w:pPr>
      <w:r w:rsidRPr="00816DFE">
        <w:rPr>
          <w:rFonts w:eastAsia="Times New Roman" w:cstheme="minorHAnsi"/>
          <w:sz w:val="24"/>
          <w:szCs w:val="24"/>
        </w:rPr>
        <w:t xml:space="preserve">In the end, </w:t>
      </w:r>
      <w:r w:rsidR="007A18E6" w:rsidRPr="00816DFE">
        <w:rPr>
          <w:rFonts w:eastAsia="Times New Roman" w:cstheme="minorHAnsi"/>
          <w:sz w:val="24"/>
          <w:szCs w:val="24"/>
        </w:rPr>
        <w:t>t</w:t>
      </w:r>
      <w:r w:rsidR="007A18E6" w:rsidRPr="00816DFE">
        <w:rPr>
          <w:rFonts w:cstheme="minorHAnsi"/>
          <w:sz w:val="24"/>
          <w:szCs w:val="24"/>
        </w:rPr>
        <w:t xml:space="preserve">he FDIC board of directors voted 3-2 to finalize the rule with the </w:t>
      </w:r>
      <w:r w:rsidR="007A2A74" w:rsidRPr="00816DFE">
        <w:rPr>
          <w:rFonts w:cstheme="minorHAnsi"/>
          <w:sz w:val="24"/>
          <w:szCs w:val="24"/>
        </w:rPr>
        <w:t xml:space="preserve">ICBA-supported </w:t>
      </w:r>
      <w:r w:rsidR="000D7198" w:rsidRPr="00816DFE">
        <w:rPr>
          <w:rFonts w:cstheme="minorHAnsi"/>
          <w:sz w:val="24"/>
          <w:szCs w:val="24"/>
        </w:rPr>
        <w:t>exemption for most community banks.</w:t>
      </w:r>
      <w:r w:rsidR="00EF6347">
        <w:rPr>
          <w:rFonts w:cstheme="minorHAnsi"/>
          <w:sz w:val="24"/>
          <w:szCs w:val="24"/>
        </w:rPr>
        <w:t xml:space="preserve"> ICBA was the only national trade association to call for a community bank exemption from the special assessment</w:t>
      </w:r>
      <w:r w:rsidR="005F4F98">
        <w:rPr>
          <w:rFonts w:cstheme="minorHAnsi"/>
          <w:sz w:val="24"/>
          <w:szCs w:val="24"/>
        </w:rPr>
        <w:t xml:space="preserve">, and we will continue educating the public, policymakers and the press about the value of community banks.  </w:t>
      </w:r>
    </w:p>
    <w:p w14:paraId="1D199E0D" w14:textId="77777777" w:rsidR="00F222AD" w:rsidRPr="00816DFE" w:rsidRDefault="00F222AD" w:rsidP="00D05678">
      <w:pPr>
        <w:shd w:val="clear" w:color="auto" w:fill="FFFFFF"/>
        <w:spacing w:line="276" w:lineRule="auto"/>
        <w:rPr>
          <w:rFonts w:cstheme="minorHAnsi"/>
          <w:sz w:val="24"/>
          <w:szCs w:val="24"/>
        </w:rPr>
      </w:pPr>
    </w:p>
    <w:p w14:paraId="7222EEC3" w14:textId="3399BCCB" w:rsidR="000B66E4" w:rsidRDefault="000B66E4" w:rsidP="0056471C">
      <w:pPr>
        <w:shd w:val="clear" w:color="auto" w:fill="FFFFFF"/>
        <w:spacing w:line="276" w:lineRule="auto"/>
        <w:rPr>
          <w:rFonts w:eastAsia="Times New Roman" w:cstheme="minorHAnsi"/>
          <w:b/>
          <w:bCs/>
          <w:sz w:val="24"/>
          <w:szCs w:val="24"/>
        </w:rPr>
      </w:pPr>
      <w:r w:rsidRPr="000B66E4">
        <w:rPr>
          <w:rFonts w:eastAsia="Times New Roman" w:cstheme="minorHAnsi"/>
          <w:b/>
          <w:bCs/>
          <w:sz w:val="24"/>
          <w:szCs w:val="24"/>
        </w:rPr>
        <w:t xml:space="preserve">Anne Balcer </w:t>
      </w:r>
      <w:r w:rsidRPr="00D05678">
        <w:rPr>
          <w:rFonts w:eastAsia="Times New Roman" w:cstheme="minorHAnsi"/>
          <w:sz w:val="24"/>
          <w:szCs w:val="24"/>
        </w:rPr>
        <w:t>is ICBA senior executive vice president, chief of government relations and public policy.</w:t>
      </w:r>
      <w:r w:rsidRPr="000B66E4">
        <w:rPr>
          <w:rFonts w:eastAsia="Times New Roman" w:cstheme="minorHAnsi"/>
          <w:b/>
          <w:bCs/>
          <w:sz w:val="24"/>
          <w:szCs w:val="24"/>
        </w:rPr>
        <w:t xml:space="preserve"> </w:t>
      </w:r>
    </w:p>
    <w:p w14:paraId="504D3322" w14:textId="0BD1291D" w:rsidR="0056471C" w:rsidRDefault="0056471C" w:rsidP="0056471C">
      <w:pPr>
        <w:shd w:val="clear" w:color="auto" w:fill="FFFFFF"/>
        <w:spacing w:line="276" w:lineRule="auto"/>
        <w:rPr>
          <w:rFonts w:eastAsia="Times New Roman" w:cstheme="minorHAnsi"/>
          <w:sz w:val="24"/>
          <w:szCs w:val="24"/>
        </w:rPr>
      </w:pPr>
      <w:r>
        <w:rPr>
          <w:rFonts w:eastAsia="Times New Roman" w:cstheme="minorHAnsi"/>
          <w:sz w:val="24"/>
          <w:szCs w:val="24"/>
        </w:rPr>
        <w:t>[ends]</w:t>
      </w:r>
    </w:p>
    <w:p w14:paraId="16869F10" w14:textId="77777777" w:rsidR="00F222AD" w:rsidRDefault="00F222AD" w:rsidP="0056471C">
      <w:pPr>
        <w:shd w:val="clear" w:color="auto" w:fill="FFFFFF"/>
        <w:spacing w:line="276" w:lineRule="auto"/>
        <w:rPr>
          <w:rFonts w:eastAsia="Times New Roman" w:cstheme="minorHAnsi"/>
          <w:sz w:val="24"/>
          <w:szCs w:val="24"/>
        </w:rPr>
      </w:pPr>
    </w:p>
    <w:p w14:paraId="6F1A2D5F" w14:textId="75B9639D" w:rsidR="00021346" w:rsidRDefault="00021346" w:rsidP="0056471C">
      <w:pPr>
        <w:shd w:val="clear" w:color="auto" w:fill="FFFFFF"/>
        <w:spacing w:line="276" w:lineRule="auto"/>
        <w:rPr>
          <w:rFonts w:eastAsia="Times New Roman" w:cstheme="minorHAnsi"/>
          <w:sz w:val="24"/>
          <w:szCs w:val="24"/>
        </w:rPr>
      </w:pPr>
      <w:r>
        <w:rPr>
          <w:rFonts w:eastAsia="Times New Roman" w:cstheme="minorHAnsi"/>
          <w:sz w:val="24"/>
          <w:szCs w:val="24"/>
        </w:rPr>
        <w:t>[pull quotes]</w:t>
      </w:r>
    </w:p>
    <w:p w14:paraId="6BC17E2C" w14:textId="29984739" w:rsidR="00021346" w:rsidRPr="00816DFE" w:rsidRDefault="00021346" w:rsidP="00021346">
      <w:pPr>
        <w:shd w:val="clear" w:color="auto" w:fill="FFFFFF"/>
        <w:spacing w:line="276" w:lineRule="auto"/>
        <w:rPr>
          <w:rFonts w:eastAsia="Times New Roman" w:cstheme="minorHAnsi"/>
          <w:sz w:val="24"/>
          <w:szCs w:val="24"/>
        </w:rPr>
      </w:pPr>
      <w:r w:rsidRPr="00816DFE">
        <w:rPr>
          <w:rFonts w:eastAsia="Times New Roman" w:cstheme="minorHAnsi"/>
          <w:sz w:val="24"/>
          <w:szCs w:val="24"/>
        </w:rPr>
        <w:t>ICBA’s response to the SVB failure is a lesson in successful crisis management and advocacy</w:t>
      </w:r>
      <w:r w:rsidR="00F222AD">
        <w:rPr>
          <w:rFonts w:eastAsia="Times New Roman" w:cstheme="minorHAnsi"/>
          <w:sz w:val="24"/>
          <w:szCs w:val="24"/>
        </w:rPr>
        <w:t>,</w:t>
      </w:r>
      <w:r w:rsidRPr="00816DFE">
        <w:rPr>
          <w:rFonts w:eastAsia="Times New Roman" w:cstheme="minorHAnsi"/>
          <w:sz w:val="24"/>
          <w:szCs w:val="24"/>
        </w:rPr>
        <w:t xml:space="preserve"> with ICBA and community bankers working to limit the impact on community banks and ensure their continued strength and viability.</w:t>
      </w:r>
    </w:p>
    <w:p w14:paraId="16EE2C99" w14:textId="4515BC2F" w:rsidR="00021346" w:rsidRPr="00816DFE" w:rsidRDefault="00D801B5" w:rsidP="00D05678">
      <w:pPr>
        <w:shd w:val="clear" w:color="auto" w:fill="FFFFFF"/>
        <w:spacing w:line="276" w:lineRule="auto"/>
        <w:rPr>
          <w:rFonts w:eastAsia="Times New Roman" w:cstheme="minorHAnsi"/>
          <w:sz w:val="24"/>
          <w:szCs w:val="24"/>
        </w:rPr>
      </w:pPr>
      <w:r w:rsidRPr="00816DFE">
        <w:rPr>
          <w:rFonts w:eastAsia="Times New Roman" w:cstheme="minorHAnsi"/>
          <w:sz w:val="24"/>
          <w:szCs w:val="24"/>
        </w:rPr>
        <w:t xml:space="preserve">Since </w:t>
      </w:r>
      <w:r>
        <w:rPr>
          <w:rFonts w:eastAsia="Times New Roman" w:cstheme="minorHAnsi"/>
          <w:sz w:val="24"/>
          <w:szCs w:val="24"/>
        </w:rPr>
        <w:t>[the failure of SVB]</w:t>
      </w:r>
      <w:r w:rsidRPr="00816DFE">
        <w:rPr>
          <w:rFonts w:eastAsia="Times New Roman" w:cstheme="minorHAnsi"/>
          <w:sz w:val="24"/>
          <w:szCs w:val="24"/>
        </w:rPr>
        <w:t>, ICBA has been the sole</w:t>
      </w:r>
      <w:r w:rsidRPr="00816DFE">
        <w:rPr>
          <w:rFonts w:cstheme="minorHAnsi"/>
          <w:sz w:val="24"/>
          <w:szCs w:val="24"/>
        </w:rPr>
        <w:t xml:space="preserve"> national</w:t>
      </w:r>
      <w:r w:rsidRPr="00816DFE">
        <w:rPr>
          <w:rFonts w:eastAsia="Times New Roman" w:cstheme="minorHAnsi"/>
          <w:sz w:val="24"/>
          <w:szCs w:val="24"/>
        </w:rPr>
        <w:t xml:space="preserve"> voice representing community banks exclusively to ensure they would not have to pay for the mistakes of large banks.</w:t>
      </w:r>
    </w:p>
    <w:sectPr w:rsidR="00021346" w:rsidRPr="0081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54F"/>
    <w:multiLevelType w:val="multilevel"/>
    <w:tmpl w:val="40C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627B5"/>
    <w:multiLevelType w:val="multilevel"/>
    <w:tmpl w:val="145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2180C"/>
    <w:multiLevelType w:val="multilevel"/>
    <w:tmpl w:val="6E2AA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2B74AE"/>
    <w:multiLevelType w:val="multilevel"/>
    <w:tmpl w:val="3064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41A2B"/>
    <w:multiLevelType w:val="multilevel"/>
    <w:tmpl w:val="1B5019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9110628">
    <w:abstractNumId w:val="0"/>
  </w:num>
  <w:num w:numId="2" w16cid:durableId="1836265049">
    <w:abstractNumId w:val="2"/>
  </w:num>
  <w:num w:numId="3" w16cid:durableId="253629197">
    <w:abstractNumId w:val="1"/>
  </w:num>
  <w:num w:numId="4" w16cid:durableId="773405973">
    <w:abstractNumId w:val="4"/>
  </w:num>
  <w:num w:numId="5" w16cid:durableId="666901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1B"/>
    <w:rsid w:val="00000B58"/>
    <w:rsid w:val="00015B0A"/>
    <w:rsid w:val="00021346"/>
    <w:rsid w:val="0002448E"/>
    <w:rsid w:val="00030596"/>
    <w:rsid w:val="00034B3B"/>
    <w:rsid w:val="00045E4F"/>
    <w:rsid w:val="000B66E4"/>
    <w:rsid w:val="000D7198"/>
    <w:rsid w:val="000E01A5"/>
    <w:rsid w:val="000E49E7"/>
    <w:rsid w:val="000F5D89"/>
    <w:rsid w:val="001315AF"/>
    <w:rsid w:val="00140A6C"/>
    <w:rsid w:val="001430B3"/>
    <w:rsid w:val="001549D4"/>
    <w:rsid w:val="001601E8"/>
    <w:rsid w:val="0018079B"/>
    <w:rsid w:val="00181833"/>
    <w:rsid w:val="00187E71"/>
    <w:rsid w:val="001954EE"/>
    <w:rsid w:val="001A32D0"/>
    <w:rsid w:val="001A65D0"/>
    <w:rsid w:val="001D4C05"/>
    <w:rsid w:val="001E5B0B"/>
    <w:rsid w:val="0020383F"/>
    <w:rsid w:val="0021104B"/>
    <w:rsid w:val="0021306D"/>
    <w:rsid w:val="00213FE8"/>
    <w:rsid w:val="00235FAC"/>
    <w:rsid w:val="002464AF"/>
    <w:rsid w:val="002651B4"/>
    <w:rsid w:val="002A3858"/>
    <w:rsid w:val="002B0B4B"/>
    <w:rsid w:val="002D19D7"/>
    <w:rsid w:val="002F7661"/>
    <w:rsid w:val="00313D6A"/>
    <w:rsid w:val="00370DAA"/>
    <w:rsid w:val="00395A59"/>
    <w:rsid w:val="003B3BC2"/>
    <w:rsid w:val="003F19E7"/>
    <w:rsid w:val="003F641B"/>
    <w:rsid w:val="00406973"/>
    <w:rsid w:val="00413B57"/>
    <w:rsid w:val="00436956"/>
    <w:rsid w:val="00437B98"/>
    <w:rsid w:val="00440402"/>
    <w:rsid w:val="00471328"/>
    <w:rsid w:val="004B6A9E"/>
    <w:rsid w:val="005000C9"/>
    <w:rsid w:val="00531134"/>
    <w:rsid w:val="0055026F"/>
    <w:rsid w:val="00552B12"/>
    <w:rsid w:val="0056471C"/>
    <w:rsid w:val="00580BA1"/>
    <w:rsid w:val="005C1D4F"/>
    <w:rsid w:val="005D0201"/>
    <w:rsid w:val="005F057C"/>
    <w:rsid w:val="005F4F98"/>
    <w:rsid w:val="00643666"/>
    <w:rsid w:val="006445AB"/>
    <w:rsid w:val="00661766"/>
    <w:rsid w:val="006B2E68"/>
    <w:rsid w:val="006D538B"/>
    <w:rsid w:val="006D7D5A"/>
    <w:rsid w:val="006F4D7E"/>
    <w:rsid w:val="006F6816"/>
    <w:rsid w:val="00730AE3"/>
    <w:rsid w:val="0078742A"/>
    <w:rsid w:val="007A18E6"/>
    <w:rsid w:val="007A2A74"/>
    <w:rsid w:val="007B77CB"/>
    <w:rsid w:val="007F3417"/>
    <w:rsid w:val="00816DFE"/>
    <w:rsid w:val="0085333C"/>
    <w:rsid w:val="00855A4F"/>
    <w:rsid w:val="0085648D"/>
    <w:rsid w:val="0088572D"/>
    <w:rsid w:val="008A2A57"/>
    <w:rsid w:val="008E2423"/>
    <w:rsid w:val="00923CD8"/>
    <w:rsid w:val="009421BB"/>
    <w:rsid w:val="00945F45"/>
    <w:rsid w:val="00962B65"/>
    <w:rsid w:val="00964A51"/>
    <w:rsid w:val="00975BA2"/>
    <w:rsid w:val="009900E5"/>
    <w:rsid w:val="009D08C5"/>
    <w:rsid w:val="009D79A3"/>
    <w:rsid w:val="00A15252"/>
    <w:rsid w:val="00A61C5C"/>
    <w:rsid w:val="00A677AB"/>
    <w:rsid w:val="00A73A51"/>
    <w:rsid w:val="00A74CFB"/>
    <w:rsid w:val="00AA394D"/>
    <w:rsid w:val="00AA6383"/>
    <w:rsid w:val="00AB27E5"/>
    <w:rsid w:val="00AC081C"/>
    <w:rsid w:val="00AE0A3B"/>
    <w:rsid w:val="00B32633"/>
    <w:rsid w:val="00B36780"/>
    <w:rsid w:val="00BC167E"/>
    <w:rsid w:val="00C24EF4"/>
    <w:rsid w:val="00C45F4B"/>
    <w:rsid w:val="00C603FA"/>
    <w:rsid w:val="00C77159"/>
    <w:rsid w:val="00CA62E2"/>
    <w:rsid w:val="00CA69F0"/>
    <w:rsid w:val="00CA7909"/>
    <w:rsid w:val="00CD3EFE"/>
    <w:rsid w:val="00CD5791"/>
    <w:rsid w:val="00D05678"/>
    <w:rsid w:val="00D108BB"/>
    <w:rsid w:val="00D1237C"/>
    <w:rsid w:val="00D40E7D"/>
    <w:rsid w:val="00D6451E"/>
    <w:rsid w:val="00D71DC0"/>
    <w:rsid w:val="00D801B5"/>
    <w:rsid w:val="00D864B9"/>
    <w:rsid w:val="00D97C01"/>
    <w:rsid w:val="00DD3A34"/>
    <w:rsid w:val="00E118D6"/>
    <w:rsid w:val="00E500DF"/>
    <w:rsid w:val="00E53A64"/>
    <w:rsid w:val="00EC0E6F"/>
    <w:rsid w:val="00EF6347"/>
    <w:rsid w:val="00EF7E3B"/>
    <w:rsid w:val="00F222AD"/>
    <w:rsid w:val="00F33587"/>
    <w:rsid w:val="00FF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7D5C"/>
  <w15:chartTrackingRefBased/>
  <w15:docId w15:val="{4BA469DF-F8B7-483D-989F-1245239A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41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F641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641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F641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F641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F64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64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64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64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41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F641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F641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F641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F641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F64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64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64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641B"/>
    <w:rPr>
      <w:rFonts w:eastAsiaTheme="majorEastAsia" w:cstheme="majorBidi"/>
      <w:color w:val="272727" w:themeColor="text1" w:themeTint="D8"/>
    </w:rPr>
  </w:style>
  <w:style w:type="paragraph" w:styleId="Title">
    <w:name w:val="Title"/>
    <w:basedOn w:val="Normal"/>
    <w:next w:val="Normal"/>
    <w:link w:val="TitleChar"/>
    <w:uiPriority w:val="10"/>
    <w:qFormat/>
    <w:rsid w:val="003F64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4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64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64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641B"/>
    <w:pPr>
      <w:spacing w:before="160"/>
      <w:jc w:val="center"/>
    </w:pPr>
    <w:rPr>
      <w:i/>
      <w:iCs/>
      <w:color w:val="404040" w:themeColor="text1" w:themeTint="BF"/>
    </w:rPr>
  </w:style>
  <w:style w:type="character" w:customStyle="1" w:styleId="QuoteChar">
    <w:name w:val="Quote Char"/>
    <w:basedOn w:val="DefaultParagraphFont"/>
    <w:link w:val="Quote"/>
    <w:uiPriority w:val="29"/>
    <w:rsid w:val="003F641B"/>
    <w:rPr>
      <w:i/>
      <w:iCs/>
      <w:color w:val="404040" w:themeColor="text1" w:themeTint="BF"/>
    </w:rPr>
  </w:style>
  <w:style w:type="paragraph" w:styleId="ListParagraph">
    <w:name w:val="List Paragraph"/>
    <w:basedOn w:val="Normal"/>
    <w:uiPriority w:val="34"/>
    <w:qFormat/>
    <w:rsid w:val="003F641B"/>
    <w:pPr>
      <w:ind w:left="720"/>
      <w:contextualSpacing/>
    </w:pPr>
  </w:style>
  <w:style w:type="character" w:styleId="IntenseEmphasis">
    <w:name w:val="Intense Emphasis"/>
    <w:basedOn w:val="DefaultParagraphFont"/>
    <w:uiPriority w:val="21"/>
    <w:qFormat/>
    <w:rsid w:val="003F641B"/>
    <w:rPr>
      <w:i/>
      <w:iCs/>
      <w:color w:val="2F5496" w:themeColor="accent1" w:themeShade="BF"/>
    </w:rPr>
  </w:style>
  <w:style w:type="paragraph" w:styleId="IntenseQuote">
    <w:name w:val="Intense Quote"/>
    <w:basedOn w:val="Normal"/>
    <w:next w:val="Normal"/>
    <w:link w:val="IntenseQuoteChar"/>
    <w:uiPriority w:val="30"/>
    <w:qFormat/>
    <w:rsid w:val="003F641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F641B"/>
    <w:rPr>
      <w:i/>
      <w:iCs/>
      <w:color w:val="2F5496" w:themeColor="accent1" w:themeShade="BF"/>
    </w:rPr>
  </w:style>
  <w:style w:type="character" w:styleId="IntenseReference">
    <w:name w:val="Intense Reference"/>
    <w:basedOn w:val="DefaultParagraphFont"/>
    <w:uiPriority w:val="32"/>
    <w:qFormat/>
    <w:rsid w:val="003F641B"/>
    <w:rPr>
      <w:b/>
      <w:bCs/>
      <w:smallCaps/>
      <w:color w:val="2F5496" w:themeColor="accent1" w:themeShade="BF"/>
      <w:spacing w:val="5"/>
    </w:rPr>
  </w:style>
  <w:style w:type="paragraph" w:styleId="NormalWeb">
    <w:name w:val="Normal (Web)"/>
    <w:basedOn w:val="Normal"/>
    <w:uiPriority w:val="99"/>
    <w:semiHidden/>
    <w:unhideWhenUsed/>
    <w:rsid w:val="003F64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41B"/>
    <w:rPr>
      <w:b/>
      <w:bCs/>
    </w:rPr>
  </w:style>
  <w:style w:type="character" w:styleId="Emphasis">
    <w:name w:val="Emphasis"/>
    <w:basedOn w:val="DefaultParagraphFont"/>
    <w:uiPriority w:val="20"/>
    <w:qFormat/>
    <w:rsid w:val="00EC0E6F"/>
    <w:rPr>
      <w:i/>
      <w:iCs/>
    </w:rPr>
  </w:style>
  <w:style w:type="character" w:styleId="Hyperlink">
    <w:name w:val="Hyperlink"/>
    <w:basedOn w:val="DefaultParagraphFont"/>
    <w:uiPriority w:val="99"/>
    <w:unhideWhenUsed/>
    <w:rsid w:val="00D97C01"/>
    <w:rPr>
      <w:color w:val="0563C1" w:themeColor="hyperlink"/>
      <w:u w:val="single"/>
    </w:rPr>
  </w:style>
  <w:style w:type="character" w:styleId="UnresolvedMention">
    <w:name w:val="Unresolved Mention"/>
    <w:basedOn w:val="DefaultParagraphFont"/>
    <w:uiPriority w:val="99"/>
    <w:semiHidden/>
    <w:unhideWhenUsed/>
    <w:rsid w:val="00D97C01"/>
    <w:rPr>
      <w:color w:val="605E5C"/>
      <w:shd w:val="clear" w:color="auto" w:fill="E1DFDD"/>
    </w:rPr>
  </w:style>
  <w:style w:type="paragraph" w:styleId="Revision">
    <w:name w:val="Revision"/>
    <w:hidden/>
    <w:uiPriority w:val="99"/>
    <w:semiHidden/>
    <w:rsid w:val="00EF6347"/>
    <w:pPr>
      <w:spacing w:after="0" w:line="240" w:lineRule="auto"/>
    </w:pPr>
  </w:style>
  <w:style w:type="character" w:styleId="CommentReference">
    <w:name w:val="annotation reference"/>
    <w:basedOn w:val="DefaultParagraphFont"/>
    <w:uiPriority w:val="99"/>
    <w:semiHidden/>
    <w:unhideWhenUsed/>
    <w:rsid w:val="00F222AD"/>
    <w:rPr>
      <w:sz w:val="16"/>
      <w:szCs w:val="16"/>
    </w:rPr>
  </w:style>
  <w:style w:type="paragraph" w:styleId="CommentText">
    <w:name w:val="annotation text"/>
    <w:basedOn w:val="Normal"/>
    <w:link w:val="CommentTextChar"/>
    <w:uiPriority w:val="99"/>
    <w:semiHidden/>
    <w:unhideWhenUsed/>
    <w:rsid w:val="00F222AD"/>
    <w:pPr>
      <w:spacing w:line="240" w:lineRule="auto"/>
    </w:pPr>
    <w:rPr>
      <w:sz w:val="20"/>
      <w:szCs w:val="20"/>
    </w:rPr>
  </w:style>
  <w:style w:type="character" w:customStyle="1" w:styleId="CommentTextChar">
    <w:name w:val="Comment Text Char"/>
    <w:basedOn w:val="DefaultParagraphFont"/>
    <w:link w:val="CommentText"/>
    <w:uiPriority w:val="99"/>
    <w:semiHidden/>
    <w:rsid w:val="00F222AD"/>
    <w:rPr>
      <w:sz w:val="20"/>
      <w:szCs w:val="20"/>
    </w:rPr>
  </w:style>
  <w:style w:type="paragraph" w:styleId="CommentSubject">
    <w:name w:val="annotation subject"/>
    <w:basedOn w:val="CommentText"/>
    <w:next w:val="CommentText"/>
    <w:link w:val="CommentSubjectChar"/>
    <w:uiPriority w:val="99"/>
    <w:semiHidden/>
    <w:unhideWhenUsed/>
    <w:rsid w:val="00F222AD"/>
    <w:rPr>
      <w:b/>
      <w:bCs/>
    </w:rPr>
  </w:style>
  <w:style w:type="character" w:customStyle="1" w:styleId="CommentSubjectChar">
    <w:name w:val="Comment Subject Char"/>
    <w:basedOn w:val="CommentTextChar"/>
    <w:link w:val="CommentSubject"/>
    <w:uiPriority w:val="99"/>
    <w:semiHidden/>
    <w:rsid w:val="00F22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Molly Bennett</cp:lastModifiedBy>
  <cp:revision>3</cp:revision>
  <dcterms:created xsi:type="dcterms:W3CDTF">2024-02-07T19:14:00Z</dcterms:created>
  <dcterms:modified xsi:type="dcterms:W3CDTF">2024-02-07T19:16:00Z</dcterms:modified>
</cp:coreProperties>
</file>