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936A" w14:textId="3B7121F6" w:rsidR="006D14FC"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July 2023</w:t>
      </w:r>
      <w:r>
        <w:rPr>
          <w:rFonts w:ascii="Times New Roman" w:hAnsi="Times New Roman" w:cs="Times New Roman"/>
          <w:sz w:val="24"/>
          <w:szCs w:val="24"/>
        </w:rPr>
        <w:br/>
        <w:t>Portfolio</w:t>
      </w:r>
    </w:p>
    <w:p w14:paraId="2ED71768" w14:textId="3CB8894B" w:rsidR="006D14FC" w:rsidRPr="006D14FC"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[tag] Checks &amp; Balances</w:t>
      </w:r>
    </w:p>
    <w:p w14:paraId="7B47B64C" w14:textId="015769C0" w:rsidR="00C80343"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hed</w:t>
      </w:r>
      <w:proofErr w:type="spellEnd"/>
      <w:r>
        <w:rPr>
          <w:rFonts w:ascii="Times New Roman" w:hAnsi="Times New Roman" w:cs="Times New Roman"/>
          <w:sz w:val="24"/>
          <w:szCs w:val="24"/>
        </w:rPr>
        <w:t xml:space="preserve">] </w:t>
      </w:r>
      <w:r w:rsidR="00C80343" w:rsidRPr="006D14FC">
        <w:rPr>
          <w:rFonts w:ascii="Times New Roman" w:hAnsi="Times New Roman" w:cs="Times New Roman"/>
          <w:sz w:val="24"/>
          <w:szCs w:val="24"/>
        </w:rPr>
        <w:t xml:space="preserve">ICBA </w:t>
      </w:r>
      <w:r>
        <w:rPr>
          <w:rFonts w:ascii="Times New Roman" w:hAnsi="Times New Roman" w:cs="Times New Roman"/>
          <w:sz w:val="24"/>
          <w:szCs w:val="24"/>
        </w:rPr>
        <w:t>s</w:t>
      </w:r>
      <w:r w:rsidR="00C80343" w:rsidRPr="006D14FC">
        <w:rPr>
          <w:rFonts w:ascii="Times New Roman" w:hAnsi="Times New Roman" w:cs="Times New Roman"/>
          <w:sz w:val="24"/>
          <w:szCs w:val="24"/>
        </w:rPr>
        <w:t xml:space="preserve">uccessfully </w:t>
      </w:r>
      <w:r>
        <w:rPr>
          <w:rFonts w:ascii="Times New Roman" w:hAnsi="Times New Roman" w:cs="Times New Roman"/>
          <w:sz w:val="24"/>
          <w:szCs w:val="24"/>
        </w:rPr>
        <w:t>d</w:t>
      </w:r>
      <w:r w:rsidR="00C80343" w:rsidRPr="006D14FC">
        <w:rPr>
          <w:rFonts w:ascii="Times New Roman" w:hAnsi="Times New Roman" w:cs="Times New Roman"/>
          <w:sz w:val="24"/>
          <w:szCs w:val="24"/>
        </w:rPr>
        <w:t xml:space="preserve">efends </w:t>
      </w:r>
      <w:r>
        <w:rPr>
          <w:rFonts w:ascii="Times New Roman" w:hAnsi="Times New Roman" w:cs="Times New Roman"/>
          <w:sz w:val="24"/>
          <w:szCs w:val="24"/>
        </w:rPr>
        <w:t>a</w:t>
      </w:r>
      <w:r w:rsidR="00C80343" w:rsidRPr="006D14FC">
        <w:rPr>
          <w:rFonts w:ascii="Times New Roman" w:hAnsi="Times New Roman" w:cs="Times New Roman"/>
          <w:sz w:val="24"/>
          <w:szCs w:val="24"/>
        </w:rPr>
        <w:t xml:space="preserve">gainst FDIC </w:t>
      </w:r>
      <w:r>
        <w:rPr>
          <w:rFonts w:ascii="Times New Roman" w:hAnsi="Times New Roman" w:cs="Times New Roman"/>
          <w:sz w:val="24"/>
          <w:szCs w:val="24"/>
        </w:rPr>
        <w:t>s</w:t>
      </w:r>
      <w:r w:rsidR="00C80343" w:rsidRPr="006D14FC">
        <w:rPr>
          <w:rFonts w:ascii="Times New Roman" w:hAnsi="Times New Roman" w:cs="Times New Roman"/>
          <w:sz w:val="24"/>
          <w:szCs w:val="24"/>
        </w:rPr>
        <w:t xml:space="preserve">pecial </w:t>
      </w:r>
      <w:r>
        <w:rPr>
          <w:rFonts w:ascii="Times New Roman" w:hAnsi="Times New Roman" w:cs="Times New Roman"/>
          <w:sz w:val="24"/>
          <w:szCs w:val="24"/>
        </w:rPr>
        <w:t>a</w:t>
      </w:r>
      <w:r w:rsidR="00C80343" w:rsidRPr="006D14FC">
        <w:rPr>
          <w:rFonts w:ascii="Times New Roman" w:hAnsi="Times New Roman" w:cs="Times New Roman"/>
          <w:sz w:val="24"/>
          <w:szCs w:val="24"/>
        </w:rPr>
        <w:t>ssessment</w:t>
      </w:r>
    </w:p>
    <w:p w14:paraId="4B27BD34" w14:textId="0EE33F4A" w:rsidR="006D14FC" w:rsidRPr="006D14FC"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dek</w:t>
      </w:r>
      <w:proofErr w:type="spellEnd"/>
      <w:r>
        <w:rPr>
          <w:rFonts w:ascii="Times New Roman" w:hAnsi="Times New Roman" w:cs="Times New Roman"/>
          <w:sz w:val="24"/>
          <w:szCs w:val="24"/>
        </w:rPr>
        <w:t>]</w:t>
      </w:r>
      <w:r w:rsidR="00D027A2">
        <w:rPr>
          <w:rFonts w:ascii="Times New Roman" w:hAnsi="Times New Roman" w:cs="Times New Roman"/>
          <w:sz w:val="24"/>
          <w:szCs w:val="24"/>
        </w:rPr>
        <w:t xml:space="preserve"> </w:t>
      </w:r>
      <w:r w:rsidR="00AE66F9">
        <w:rPr>
          <w:rFonts w:ascii="Times New Roman" w:hAnsi="Times New Roman" w:cs="Times New Roman"/>
          <w:sz w:val="24"/>
          <w:szCs w:val="24"/>
        </w:rPr>
        <w:t>As soon as the news broke about</w:t>
      </w:r>
      <w:r w:rsidR="00D027A2">
        <w:rPr>
          <w:rFonts w:ascii="Times New Roman" w:hAnsi="Times New Roman" w:cs="Times New Roman"/>
          <w:sz w:val="24"/>
          <w:szCs w:val="24"/>
        </w:rPr>
        <w:t xml:space="preserve"> Silicon Valley Bank and Signature Bank, ICBA sprang into action, shielding community banks from paying for the failures of the megabanks.</w:t>
      </w:r>
    </w:p>
    <w:p w14:paraId="1DDE5A60" w14:textId="52C9884A" w:rsidR="001E3DC4" w:rsidRDefault="006D14FC"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[byline] </w:t>
      </w:r>
      <w:r w:rsidR="001E3DC4" w:rsidRPr="006D14FC">
        <w:rPr>
          <w:rFonts w:ascii="Times New Roman" w:hAnsi="Times New Roman" w:cs="Times New Roman"/>
          <w:sz w:val="24"/>
          <w:szCs w:val="24"/>
        </w:rPr>
        <w:t>By Stephen Keen</w:t>
      </w:r>
    </w:p>
    <w:p w14:paraId="428BBDF7" w14:textId="7B8236A8" w:rsidR="006D14FC" w:rsidRPr="006D14FC"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3F53D85D" w14:textId="075C0696" w:rsidR="00C80343" w:rsidRPr="006D14FC" w:rsidRDefault="00C80343"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It’s not every day a financial crisis unfolds</w:t>
      </w:r>
      <w:r w:rsidR="006D14FC">
        <w:rPr>
          <w:rFonts w:ascii="Times New Roman" w:hAnsi="Times New Roman" w:cs="Times New Roman"/>
          <w:sz w:val="24"/>
          <w:szCs w:val="24"/>
        </w:rPr>
        <w:t>,</w:t>
      </w:r>
      <w:r w:rsidRPr="006D14FC">
        <w:rPr>
          <w:rFonts w:ascii="Times New Roman" w:hAnsi="Times New Roman" w:cs="Times New Roman"/>
          <w:sz w:val="24"/>
          <w:szCs w:val="24"/>
        </w:rPr>
        <w:t xml:space="preserve"> and it’s certainly not something community bankers expect while attending the industry’s leading convention, ICBA </w:t>
      </w:r>
      <w:r w:rsidR="00AE66F9">
        <w:rPr>
          <w:rFonts w:ascii="Times New Roman" w:hAnsi="Times New Roman" w:cs="Times New Roman"/>
          <w:sz w:val="24"/>
          <w:szCs w:val="24"/>
        </w:rPr>
        <w:t>LIVE.</w:t>
      </w:r>
      <w:r w:rsidRPr="006D14FC">
        <w:rPr>
          <w:rFonts w:ascii="Times New Roman" w:hAnsi="Times New Roman" w:cs="Times New Roman"/>
          <w:sz w:val="24"/>
          <w:szCs w:val="24"/>
        </w:rPr>
        <w:t xml:space="preserve"> But that’s exactly what happened </w:t>
      </w:r>
      <w:r w:rsidR="000616CC" w:rsidRPr="006D14FC">
        <w:rPr>
          <w:rFonts w:ascii="Times New Roman" w:hAnsi="Times New Roman" w:cs="Times New Roman"/>
          <w:sz w:val="24"/>
          <w:szCs w:val="24"/>
        </w:rPr>
        <w:t>in the aftermath of the failure of Silicon Valley Bank</w:t>
      </w:r>
      <w:r w:rsidR="006D14FC">
        <w:rPr>
          <w:rFonts w:ascii="Times New Roman" w:hAnsi="Times New Roman" w:cs="Times New Roman"/>
          <w:sz w:val="24"/>
          <w:szCs w:val="24"/>
        </w:rPr>
        <w:t xml:space="preserve"> (SVB)</w:t>
      </w:r>
      <w:r w:rsidR="000616CC" w:rsidRPr="006D14FC">
        <w:rPr>
          <w:rFonts w:ascii="Times New Roman" w:hAnsi="Times New Roman" w:cs="Times New Roman"/>
          <w:sz w:val="24"/>
          <w:szCs w:val="24"/>
        </w:rPr>
        <w:t xml:space="preserve"> and Signature Bank in March</w:t>
      </w:r>
      <w:r w:rsidR="00AE66F9">
        <w:rPr>
          <w:rFonts w:ascii="Times New Roman" w:hAnsi="Times New Roman" w:cs="Times New Roman"/>
          <w:sz w:val="24"/>
          <w:szCs w:val="24"/>
        </w:rPr>
        <w:t>. It set</w:t>
      </w:r>
      <w:r w:rsidR="000616CC" w:rsidRPr="006D14FC">
        <w:rPr>
          <w:rFonts w:ascii="Times New Roman" w:hAnsi="Times New Roman" w:cs="Times New Roman"/>
          <w:sz w:val="24"/>
          <w:szCs w:val="24"/>
        </w:rPr>
        <w:t xml:space="preserve"> the stage for a successful fight against</w:t>
      </w:r>
      <w:r w:rsidR="00A4319B" w:rsidRPr="006D14FC">
        <w:rPr>
          <w:rFonts w:ascii="Times New Roman" w:hAnsi="Times New Roman" w:cs="Times New Roman"/>
          <w:sz w:val="24"/>
          <w:szCs w:val="24"/>
        </w:rPr>
        <w:t xml:space="preserve"> the effort to</w:t>
      </w:r>
      <w:r w:rsidR="000616CC" w:rsidRPr="006D14FC">
        <w:rPr>
          <w:rFonts w:ascii="Times New Roman" w:hAnsi="Times New Roman" w:cs="Times New Roman"/>
          <w:sz w:val="24"/>
          <w:szCs w:val="24"/>
        </w:rPr>
        <w:t xml:space="preserve"> forc</w:t>
      </w:r>
      <w:r w:rsidR="00A4319B" w:rsidRPr="006D14FC">
        <w:rPr>
          <w:rFonts w:ascii="Times New Roman" w:hAnsi="Times New Roman" w:cs="Times New Roman"/>
          <w:sz w:val="24"/>
          <w:szCs w:val="24"/>
        </w:rPr>
        <w:t>e</w:t>
      </w:r>
      <w:r w:rsidR="000616CC" w:rsidRPr="006D14FC">
        <w:rPr>
          <w:rFonts w:ascii="Times New Roman" w:hAnsi="Times New Roman" w:cs="Times New Roman"/>
          <w:sz w:val="24"/>
          <w:szCs w:val="24"/>
        </w:rPr>
        <w:t xml:space="preserve"> community banks to pay the price for the mismanagement of much larger, riskier financial institutions. </w:t>
      </w:r>
    </w:p>
    <w:p w14:paraId="3B75CDA6" w14:textId="19C8F674" w:rsidR="00C80343" w:rsidRPr="006D14FC" w:rsidRDefault="00C80343"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ICBA’s national convention in Honolulu</w:t>
      </w:r>
      <w:r w:rsidR="00AE66F9">
        <w:rPr>
          <w:rFonts w:ascii="Times New Roman" w:hAnsi="Times New Roman" w:cs="Times New Roman"/>
          <w:sz w:val="24"/>
          <w:szCs w:val="24"/>
        </w:rPr>
        <w:t xml:space="preserve"> </w:t>
      </w:r>
      <w:r w:rsidRPr="006D14FC">
        <w:rPr>
          <w:rFonts w:ascii="Times New Roman" w:hAnsi="Times New Roman" w:cs="Times New Roman"/>
          <w:sz w:val="24"/>
          <w:szCs w:val="24"/>
        </w:rPr>
        <w:t xml:space="preserve">was already guaranteed to be one of the most memorable community banking events of the year. </w:t>
      </w:r>
      <w:r w:rsidR="000616CC" w:rsidRPr="006D14FC">
        <w:rPr>
          <w:rFonts w:ascii="Times New Roman" w:hAnsi="Times New Roman" w:cs="Times New Roman"/>
          <w:sz w:val="24"/>
          <w:szCs w:val="24"/>
        </w:rPr>
        <w:t>Community bankers from across the country arrived with plans to learn from industry experts, network with peers and explore products and services. But as news of the failure of Signature Bank sparked fears of contagion, community bank leaders found themselves taking on a new task</w:t>
      </w:r>
      <w:r w:rsidR="006D14FC">
        <w:rPr>
          <w:rFonts w:ascii="Times New Roman" w:hAnsi="Times New Roman" w:cs="Times New Roman"/>
          <w:sz w:val="24"/>
          <w:szCs w:val="24"/>
        </w:rPr>
        <w:t xml:space="preserve">: </w:t>
      </w:r>
      <w:r w:rsidR="000616CC" w:rsidRPr="006D14FC">
        <w:rPr>
          <w:rFonts w:ascii="Times New Roman" w:hAnsi="Times New Roman" w:cs="Times New Roman"/>
          <w:sz w:val="24"/>
          <w:szCs w:val="24"/>
        </w:rPr>
        <w:t xml:space="preserve">calming outside fears and protecting their banks from a special assessment to restore the </w:t>
      </w:r>
      <w:r w:rsidR="0030047C" w:rsidRPr="006D14FC">
        <w:rPr>
          <w:rFonts w:ascii="Times New Roman" w:hAnsi="Times New Roman" w:cs="Times New Roman"/>
          <w:sz w:val="24"/>
          <w:szCs w:val="24"/>
        </w:rPr>
        <w:t>Federal Deposit Insurance Corporation (</w:t>
      </w:r>
      <w:r w:rsidR="000616CC" w:rsidRPr="006D14FC">
        <w:rPr>
          <w:rFonts w:ascii="Times New Roman" w:hAnsi="Times New Roman" w:cs="Times New Roman"/>
          <w:sz w:val="24"/>
          <w:szCs w:val="24"/>
        </w:rPr>
        <w:t>FDIC</w:t>
      </w:r>
      <w:r w:rsidR="0030047C" w:rsidRPr="006D14FC">
        <w:rPr>
          <w:rFonts w:ascii="Times New Roman" w:hAnsi="Times New Roman" w:cs="Times New Roman"/>
          <w:sz w:val="24"/>
          <w:szCs w:val="24"/>
        </w:rPr>
        <w:t>)</w:t>
      </w:r>
      <w:r w:rsidR="000616CC" w:rsidRPr="006D14FC">
        <w:rPr>
          <w:rFonts w:ascii="Times New Roman" w:hAnsi="Times New Roman" w:cs="Times New Roman"/>
          <w:sz w:val="24"/>
          <w:szCs w:val="24"/>
        </w:rPr>
        <w:t xml:space="preserve"> deposit insurance fund</w:t>
      </w:r>
      <w:r w:rsidR="0030047C" w:rsidRPr="006D14FC">
        <w:rPr>
          <w:rFonts w:ascii="Times New Roman" w:hAnsi="Times New Roman" w:cs="Times New Roman"/>
          <w:sz w:val="24"/>
          <w:szCs w:val="24"/>
        </w:rPr>
        <w:t xml:space="preserve"> (DIF)</w:t>
      </w:r>
      <w:r w:rsidR="000616CC" w:rsidRPr="006D14FC">
        <w:rPr>
          <w:rFonts w:ascii="Times New Roman" w:hAnsi="Times New Roman" w:cs="Times New Roman"/>
          <w:sz w:val="24"/>
          <w:szCs w:val="24"/>
        </w:rPr>
        <w:t xml:space="preserve"> after the second and third largest bank failures in U.S. history. </w:t>
      </w:r>
    </w:p>
    <w:p w14:paraId="765E536F" w14:textId="4DA36D79" w:rsidR="001A1CBD" w:rsidRPr="006D14FC" w:rsidRDefault="0091337C"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A typical crisis would require conference calls </w:t>
      </w:r>
      <w:r w:rsidR="00847C86" w:rsidRPr="006D14FC">
        <w:rPr>
          <w:rFonts w:ascii="Times New Roman" w:hAnsi="Times New Roman" w:cs="Times New Roman"/>
          <w:sz w:val="24"/>
          <w:szCs w:val="24"/>
        </w:rPr>
        <w:t xml:space="preserve">to coordinate logistics. </w:t>
      </w:r>
      <w:r w:rsidR="007577CC" w:rsidRPr="006D14FC">
        <w:rPr>
          <w:rFonts w:ascii="Times New Roman" w:hAnsi="Times New Roman" w:cs="Times New Roman"/>
          <w:sz w:val="24"/>
          <w:szCs w:val="24"/>
        </w:rPr>
        <w:t>W</w:t>
      </w:r>
      <w:r w:rsidR="00847C86" w:rsidRPr="006D14FC">
        <w:rPr>
          <w:rFonts w:ascii="Times New Roman" w:hAnsi="Times New Roman" w:cs="Times New Roman"/>
          <w:sz w:val="24"/>
          <w:szCs w:val="24"/>
        </w:rPr>
        <w:t xml:space="preserve">ith </w:t>
      </w:r>
      <w:proofErr w:type="gramStart"/>
      <w:r w:rsidR="00847C86" w:rsidRPr="006D14FC">
        <w:rPr>
          <w:rFonts w:ascii="Times New Roman" w:hAnsi="Times New Roman" w:cs="Times New Roman"/>
          <w:sz w:val="24"/>
          <w:szCs w:val="24"/>
        </w:rPr>
        <w:t>the majority of</w:t>
      </w:r>
      <w:proofErr w:type="gramEnd"/>
      <w:r w:rsidR="00847C86" w:rsidRPr="006D14FC">
        <w:rPr>
          <w:rFonts w:ascii="Times New Roman" w:hAnsi="Times New Roman" w:cs="Times New Roman"/>
          <w:sz w:val="24"/>
          <w:szCs w:val="24"/>
        </w:rPr>
        <w:t xml:space="preserve"> the nation’s community bankers gathered in one hotel,</w:t>
      </w:r>
      <w:r w:rsidR="0071109C" w:rsidRPr="006D14FC">
        <w:rPr>
          <w:rFonts w:ascii="Times New Roman" w:hAnsi="Times New Roman" w:cs="Times New Roman"/>
          <w:sz w:val="24"/>
          <w:szCs w:val="24"/>
        </w:rPr>
        <w:t xml:space="preserve"> </w:t>
      </w:r>
      <w:r w:rsidR="00AE66F9">
        <w:rPr>
          <w:rFonts w:ascii="Times New Roman" w:hAnsi="Times New Roman" w:cs="Times New Roman"/>
          <w:sz w:val="24"/>
          <w:szCs w:val="24"/>
        </w:rPr>
        <w:t>they</w:t>
      </w:r>
      <w:r w:rsidR="0071109C" w:rsidRPr="006D14FC">
        <w:rPr>
          <w:rFonts w:ascii="Times New Roman" w:hAnsi="Times New Roman" w:cs="Times New Roman"/>
          <w:sz w:val="24"/>
          <w:szCs w:val="24"/>
        </w:rPr>
        <w:t xml:space="preserve"> were able to confer and </w:t>
      </w:r>
      <w:r w:rsidR="00D24C8F" w:rsidRPr="006D14FC">
        <w:rPr>
          <w:rFonts w:ascii="Times New Roman" w:hAnsi="Times New Roman" w:cs="Times New Roman"/>
          <w:sz w:val="24"/>
          <w:szCs w:val="24"/>
        </w:rPr>
        <w:t>act</w:t>
      </w:r>
      <w:r w:rsidR="0071109C" w:rsidRPr="006D14FC">
        <w:rPr>
          <w:rFonts w:ascii="Times New Roman" w:hAnsi="Times New Roman" w:cs="Times New Roman"/>
          <w:sz w:val="24"/>
          <w:szCs w:val="24"/>
        </w:rPr>
        <w:t xml:space="preserve"> in real time. </w:t>
      </w:r>
    </w:p>
    <w:p w14:paraId="5353241A" w14:textId="77777777" w:rsidR="00AE66F9" w:rsidRDefault="00AE66F9" w:rsidP="006D14FC">
      <w:pPr>
        <w:spacing w:line="276" w:lineRule="auto"/>
        <w:rPr>
          <w:rFonts w:ascii="Times New Roman" w:hAnsi="Times New Roman" w:cs="Times New Roman"/>
          <w:b/>
          <w:bCs/>
          <w:sz w:val="24"/>
          <w:szCs w:val="24"/>
        </w:rPr>
      </w:pPr>
    </w:p>
    <w:p w14:paraId="5D0E8BB4" w14:textId="39B441F5" w:rsidR="007B050A" w:rsidRPr="006D14FC" w:rsidRDefault="006D14FC" w:rsidP="006D14FC">
      <w:pPr>
        <w:spacing w:line="276" w:lineRule="auto"/>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subhed</w:t>
      </w:r>
      <w:proofErr w:type="spellEnd"/>
      <w:r>
        <w:rPr>
          <w:rFonts w:ascii="Times New Roman" w:hAnsi="Times New Roman" w:cs="Times New Roman"/>
          <w:b/>
          <w:bCs/>
          <w:sz w:val="24"/>
          <w:szCs w:val="24"/>
        </w:rPr>
        <w:t xml:space="preserve">] </w:t>
      </w:r>
      <w:r w:rsidR="007B050A" w:rsidRPr="006D14FC">
        <w:rPr>
          <w:rFonts w:ascii="Times New Roman" w:hAnsi="Times New Roman" w:cs="Times New Roman"/>
          <w:b/>
          <w:bCs/>
          <w:sz w:val="24"/>
          <w:szCs w:val="24"/>
        </w:rPr>
        <w:t>Reassurance and differentiation</w:t>
      </w:r>
    </w:p>
    <w:p w14:paraId="0DFE6451" w14:textId="317A3D0F" w:rsidR="006A05C5" w:rsidRPr="006D14FC" w:rsidRDefault="001C2178"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ICBA’s government affairs team quickly sprang into action, engaging in emergency meetings with bankers, staff, lobbyists and regulator</w:t>
      </w:r>
      <w:r w:rsidR="00C32160" w:rsidRPr="006D14FC">
        <w:rPr>
          <w:rFonts w:ascii="Times New Roman" w:hAnsi="Times New Roman" w:cs="Times New Roman"/>
          <w:sz w:val="24"/>
          <w:szCs w:val="24"/>
        </w:rPr>
        <w:t>s</w:t>
      </w:r>
      <w:r w:rsidRPr="006D14FC">
        <w:rPr>
          <w:rFonts w:ascii="Times New Roman" w:hAnsi="Times New Roman" w:cs="Times New Roman"/>
          <w:sz w:val="24"/>
          <w:szCs w:val="24"/>
        </w:rPr>
        <w:t xml:space="preserve">. Recognizing that a special FDIC assessment was imminent, ICBA asserted that community banks should not have to pay for the sins of the largest banks. </w:t>
      </w:r>
      <w:r w:rsidR="00A4319B" w:rsidRPr="006D14FC">
        <w:rPr>
          <w:rFonts w:ascii="Times New Roman" w:hAnsi="Times New Roman" w:cs="Times New Roman"/>
          <w:sz w:val="24"/>
          <w:szCs w:val="24"/>
        </w:rPr>
        <w:t xml:space="preserve">ICBA </w:t>
      </w:r>
      <w:r w:rsidRPr="006D14FC">
        <w:rPr>
          <w:rFonts w:ascii="Times New Roman" w:hAnsi="Times New Roman" w:cs="Times New Roman"/>
          <w:sz w:val="24"/>
          <w:szCs w:val="24"/>
        </w:rPr>
        <w:t>argued that the responsible management of community banks should not be overshadowed by the poor practices of the big players</w:t>
      </w:r>
      <w:r w:rsidR="006D14FC">
        <w:rPr>
          <w:rFonts w:ascii="Times New Roman" w:hAnsi="Times New Roman" w:cs="Times New Roman"/>
          <w:sz w:val="24"/>
          <w:szCs w:val="24"/>
        </w:rPr>
        <w:t>—</w:t>
      </w:r>
      <w:r w:rsidRPr="006D14FC">
        <w:rPr>
          <w:rFonts w:ascii="Times New Roman" w:hAnsi="Times New Roman" w:cs="Times New Roman"/>
          <w:sz w:val="24"/>
          <w:szCs w:val="24"/>
        </w:rPr>
        <w:t>the only national trade association to advocate this position.</w:t>
      </w:r>
    </w:p>
    <w:p w14:paraId="3B68884D" w14:textId="4199A814" w:rsidR="008E37FE" w:rsidRPr="006D14FC" w:rsidRDefault="0071109C"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The phone calls from </w:t>
      </w:r>
      <w:r w:rsidR="00BB5948" w:rsidRPr="006D14FC">
        <w:rPr>
          <w:rFonts w:ascii="Times New Roman" w:hAnsi="Times New Roman" w:cs="Times New Roman"/>
          <w:sz w:val="24"/>
          <w:szCs w:val="24"/>
        </w:rPr>
        <w:t>congressional staff, Senate offices, committee staff and leadership offices</w:t>
      </w:r>
      <w:r w:rsidRPr="006D14FC">
        <w:rPr>
          <w:rFonts w:ascii="Times New Roman" w:hAnsi="Times New Roman" w:cs="Times New Roman"/>
          <w:sz w:val="24"/>
          <w:szCs w:val="24"/>
        </w:rPr>
        <w:t xml:space="preserve"> </w:t>
      </w:r>
      <w:r w:rsidR="008A0797" w:rsidRPr="006D14FC">
        <w:rPr>
          <w:rFonts w:ascii="Times New Roman" w:hAnsi="Times New Roman" w:cs="Times New Roman"/>
          <w:sz w:val="24"/>
          <w:szCs w:val="24"/>
        </w:rPr>
        <w:t>began</w:t>
      </w:r>
      <w:r w:rsidR="000440B3" w:rsidRPr="006D14FC">
        <w:rPr>
          <w:rFonts w:ascii="Times New Roman" w:hAnsi="Times New Roman" w:cs="Times New Roman"/>
          <w:sz w:val="24"/>
          <w:szCs w:val="24"/>
        </w:rPr>
        <w:t xml:space="preserve"> </w:t>
      </w:r>
      <w:r w:rsidR="009310D2" w:rsidRPr="006D14FC">
        <w:rPr>
          <w:rFonts w:ascii="Times New Roman" w:hAnsi="Times New Roman" w:cs="Times New Roman"/>
          <w:sz w:val="24"/>
          <w:szCs w:val="24"/>
        </w:rPr>
        <w:t>immediately</w:t>
      </w:r>
      <w:r w:rsidR="000440B3" w:rsidRPr="006D14FC">
        <w:rPr>
          <w:rFonts w:ascii="Times New Roman" w:hAnsi="Times New Roman" w:cs="Times New Roman"/>
          <w:sz w:val="24"/>
          <w:szCs w:val="24"/>
        </w:rPr>
        <w:t xml:space="preserve"> </w:t>
      </w:r>
      <w:r w:rsidR="001A1CBD" w:rsidRPr="006D14FC">
        <w:rPr>
          <w:rFonts w:ascii="Times New Roman" w:hAnsi="Times New Roman" w:cs="Times New Roman"/>
          <w:sz w:val="24"/>
          <w:szCs w:val="24"/>
        </w:rPr>
        <w:t xml:space="preserve">after </w:t>
      </w:r>
      <w:r w:rsidR="00457881" w:rsidRPr="006D14FC">
        <w:rPr>
          <w:rFonts w:ascii="Times New Roman" w:hAnsi="Times New Roman" w:cs="Times New Roman"/>
          <w:sz w:val="24"/>
          <w:szCs w:val="24"/>
        </w:rPr>
        <w:t>Signature Ban</w:t>
      </w:r>
      <w:r w:rsidR="002C134E" w:rsidRPr="006D14FC">
        <w:rPr>
          <w:rFonts w:ascii="Times New Roman" w:hAnsi="Times New Roman" w:cs="Times New Roman"/>
          <w:sz w:val="24"/>
          <w:szCs w:val="24"/>
        </w:rPr>
        <w:t>k</w:t>
      </w:r>
      <w:r w:rsidR="009310D2" w:rsidRPr="006D14FC">
        <w:rPr>
          <w:rFonts w:ascii="Times New Roman" w:hAnsi="Times New Roman" w:cs="Times New Roman"/>
          <w:sz w:val="24"/>
          <w:szCs w:val="24"/>
        </w:rPr>
        <w:t xml:space="preserve"> collapsed. </w:t>
      </w:r>
      <w:r w:rsidRPr="006D14FC">
        <w:rPr>
          <w:rFonts w:ascii="Times New Roman" w:hAnsi="Times New Roman" w:cs="Times New Roman"/>
          <w:sz w:val="24"/>
          <w:szCs w:val="24"/>
        </w:rPr>
        <w:t>Having long relied on ICBA for insights into banking</w:t>
      </w:r>
      <w:r w:rsidR="00593EF5" w:rsidRPr="006D14FC">
        <w:rPr>
          <w:rFonts w:ascii="Times New Roman" w:hAnsi="Times New Roman" w:cs="Times New Roman"/>
          <w:sz w:val="24"/>
          <w:szCs w:val="24"/>
        </w:rPr>
        <w:t xml:space="preserve">, the economy and Main Street, they wanted to know if community banks would remain </w:t>
      </w:r>
      <w:r w:rsidR="00593EF5" w:rsidRPr="006D14FC">
        <w:rPr>
          <w:rFonts w:ascii="Times New Roman" w:hAnsi="Times New Roman" w:cs="Times New Roman"/>
          <w:sz w:val="24"/>
          <w:szCs w:val="24"/>
        </w:rPr>
        <w:lastRenderedPageBreak/>
        <w:t xml:space="preserve">safe and sound. </w:t>
      </w:r>
      <w:r w:rsidR="00901894" w:rsidRPr="006D14FC">
        <w:rPr>
          <w:rFonts w:ascii="Times New Roman" w:hAnsi="Times New Roman" w:cs="Times New Roman"/>
          <w:sz w:val="24"/>
          <w:szCs w:val="24"/>
        </w:rPr>
        <w:t>ICBA staff and bankers reassured</w:t>
      </w:r>
      <w:r w:rsidR="00830F5B" w:rsidRPr="006D14FC">
        <w:rPr>
          <w:rFonts w:ascii="Times New Roman" w:hAnsi="Times New Roman" w:cs="Times New Roman"/>
          <w:sz w:val="24"/>
          <w:szCs w:val="24"/>
        </w:rPr>
        <w:t xml:space="preserve"> that community banks remained strong</w:t>
      </w:r>
      <w:r w:rsidR="00AE66F9">
        <w:rPr>
          <w:rFonts w:ascii="Times New Roman" w:hAnsi="Times New Roman" w:cs="Times New Roman"/>
          <w:sz w:val="24"/>
          <w:szCs w:val="24"/>
        </w:rPr>
        <w:t>,</w:t>
      </w:r>
      <w:r w:rsidR="00830F5B" w:rsidRPr="006D14FC">
        <w:rPr>
          <w:rFonts w:ascii="Times New Roman" w:hAnsi="Times New Roman" w:cs="Times New Roman"/>
          <w:sz w:val="24"/>
          <w:szCs w:val="24"/>
        </w:rPr>
        <w:t xml:space="preserve"> with no </w:t>
      </w:r>
      <w:proofErr w:type="gramStart"/>
      <w:r w:rsidR="00830F5B" w:rsidRPr="006D14FC">
        <w:rPr>
          <w:rFonts w:ascii="Times New Roman" w:hAnsi="Times New Roman" w:cs="Times New Roman"/>
          <w:sz w:val="24"/>
          <w:szCs w:val="24"/>
        </w:rPr>
        <w:t>run</w:t>
      </w:r>
      <w:r w:rsidR="00AE66F9">
        <w:rPr>
          <w:rFonts w:ascii="Times New Roman" w:hAnsi="Times New Roman" w:cs="Times New Roman"/>
          <w:sz w:val="24"/>
          <w:szCs w:val="24"/>
        </w:rPr>
        <w:t xml:space="preserve"> </w:t>
      </w:r>
      <w:r w:rsidR="00830F5B" w:rsidRPr="006D14FC">
        <w:rPr>
          <w:rFonts w:ascii="Times New Roman" w:hAnsi="Times New Roman" w:cs="Times New Roman"/>
          <w:sz w:val="24"/>
          <w:szCs w:val="24"/>
        </w:rPr>
        <w:t>on</w:t>
      </w:r>
      <w:proofErr w:type="gramEnd"/>
      <w:r w:rsidR="00830F5B" w:rsidRPr="006D14FC">
        <w:rPr>
          <w:rFonts w:ascii="Times New Roman" w:hAnsi="Times New Roman" w:cs="Times New Roman"/>
          <w:sz w:val="24"/>
          <w:szCs w:val="24"/>
        </w:rPr>
        <w:t xml:space="preserve"> deposits</w:t>
      </w:r>
      <w:r w:rsidR="0074281F" w:rsidRPr="006D14FC">
        <w:rPr>
          <w:rFonts w:ascii="Times New Roman" w:hAnsi="Times New Roman" w:cs="Times New Roman"/>
          <w:sz w:val="24"/>
          <w:szCs w:val="24"/>
        </w:rPr>
        <w:t>. They</w:t>
      </w:r>
      <w:r w:rsidR="00830F5B" w:rsidRPr="006D14FC">
        <w:rPr>
          <w:rFonts w:ascii="Times New Roman" w:hAnsi="Times New Roman" w:cs="Times New Roman"/>
          <w:sz w:val="24"/>
          <w:szCs w:val="24"/>
        </w:rPr>
        <w:t xml:space="preserve"> also went on the offense to </w:t>
      </w:r>
      <w:r w:rsidR="00215487" w:rsidRPr="006D14FC">
        <w:rPr>
          <w:rFonts w:ascii="Times New Roman" w:hAnsi="Times New Roman" w:cs="Times New Roman"/>
          <w:sz w:val="24"/>
          <w:szCs w:val="24"/>
        </w:rPr>
        <w:t xml:space="preserve">gain allies in the fight against </w:t>
      </w:r>
      <w:r w:rsidR="00457A70" w:rsidRPr="006D14FC">
        <w:rPr>
          <w:rFonts w:ascii="Times New Roman" w:hAnsi="Times New Roman" w:cs="Times New Roman"/>
          <w:sz w:val="24"/>
          <w:szCs w:val="24"/>
        </w:rPr>
        <w:t xml:space="preserve">a potential special assessment levied against community banks whose </w:t>
      </w:r>
      <w:r w:rsidR="00922466" w:rsidRPr="006D14FC">
        <w:rPr>
          <w:rFonts w:ascii="Times New Roman" w:hAnsi="Times New Roman" w:cs="Times New Roman"/>
          <w:sz w:val="24"/>
          <w:szCs w:val="24"/>
        </w:rPr>
        <w:t xml:space="preserve">prudent stewardship </w:t>
      </w:r>
      <w:r w:rsidR="00F71BF6" w:rsidRPr="006D14FC">
        <w:rPr>
          <w:rFonts w:ascii="Times New Roman" w:hAnsi="Times New Roman" w:cs="Times New Roman"/>
          <w:sz w:val="24"/>
          <w:szCs w:val="24"/>
        </w:rPr>
        <w:t>stood in contrast with the</w:t>
      </w:r>
      <w:r w:rsidR="00922466" w:rsidRPr="006D14FC">
        <w:rPr>
          <w:rFonts w:ascii="Times New Roman" w:hAnsi="Times New Roman" w:cs="Times New Roman"/>
          <w:sz w:val="24"/>
          <w:szCs w:val="24"/>
        </w:rPr>
        <w:t xml:space="preserve"> risky behavior that led to the big-bank failures. </w:t>
      </w:r>
    </w:p>
    <w:p w14:paraId="51CB49CF" w14:textId="77777777" w:rsidR="00AE66F9" w:rsidRDefault="00AE66F9" w:rsidP="006D14FC">
      <w:pPr>
        <w:spacing w:line="276" w:lineRule="auto"/>
        <w:rPr>
          <w:rFonts w:ascii="Times New Roman" w:hAnsi="Times New Roman" w:cs="Times New Roman"/>
          <w:b/>
          <w:bCs/>
          <w:sz w:val="24"/>
          <w:szCs w:val="24"/>
        </w:rPr>
      </w:pPr>
    </w:p>
    <w:p w14:paraId="1F599517" w14:textId="7B6E4EA0" w:rsidR="00637D68" w:rsidRPr="006D14FC" w:rsidRDefault="006D14FC" w:rsidP="006D14FC">
      <w:pPr>
        <w:spacing w:line="276" w:lineRule="auto"/>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subhed</w:t>
      </w:r>
      <w:proofErr w:type="spellEnd"/>
      <w:r>
        <w:rPr>
          <w:rFonts w:ascii="Times New Roman" w:hAnsi="Times New Roman" w:cs="Times New Roman"/>
          <w:b/>
          <w:bCs/>
          <w:sz w:val="24"/>
          <w:szCs w:val="24"/>
        </w:rPr>
        <w:t xml:space="preserve">] </w:t>
      </w:r>
      <w:r w:rsidR="00CB0E4D" w:rsidRPr="006D14FC">
        <w:rPr>
          <w:rFonts w:ascii="Times New Roman" w:hAnsi="Times New Roman" w:cs="Times New Roman"/>
          <w:b/>
          <w:bCs/>
          <w:sz w:val="24"/>
          <w:szCs w:val="24"/>
        </w:rPr>
        <w:t>The fight continues</w:t>
      </w:r>
    </w:p>
    <w:p w14:paraId="0D906B39" w14:textId="3DE0603C" w:rsidR="00990314" w:rsidRPr="006D14FC" w:rsidRDefault="006E1BFD"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The effort continued after community bankers flew home</w:t>
      </w:r>
      <w:r w:rsidR="00CB0E4D" w:rsidRPr="006D14FC">
        <w:rPr>
          <w:rFonts w:ascii="Times New Roman" w:hAnsi="Times New Roman" w:cs="Times New Roman"/>
          <w:sz w:val="24"/>
          <w:szCs w:val="24"/>
        </w:rPr>
        <w:t xml:space="preserve"> with grassroots efforts playing a key role. Community bankers maintain </w:t>
      </w:r>
      <w:r w:rsidR="00990314" w:rsidRPr="006D14FC">
        <w:rPr>
          <w:rFonts w:ascii="Times New Roman" w:hAnsi="Times New Roman" w:cs="Times New Roman"/>
          <w:sz w:val="24"/>
          <w:szCs w:val="24"/>
        </w:rPr>
        <w:t xml:space="preserve">excellent relationships with </w:t>
      </w:r>
      <w:r w:rsidR="00CB0E4D" w:rsidRPr="006D14FC">
        <w:rPr>
          <w:rFonts w:ascii="Times New Roman" w:hAnsi="Times New Roman" w:cs="Times New Roman"/>
          <w:sz w:val="24"/>
          <w:szCs w:val="24"/>
        </w:rPr>
        <w:t xml:space="preserve">both </w:t>
      </w:r>
      <w:r w:rsidR="00990314" w:rsidRPr="006D14FC">
        <w:rPr>
          <w:rFonts w:ascii="Times New Roman" w:hAnsi="Times New Roman" w:cs="Times New Roman"/>
          <w:sz w:val="24"/>
          <w:szCs w:val="24"/>
        </w:rPr>
        <w:t>regulators and legislators</w:t>
      </w:r>
      <w:r w:rsidR="00CB0E4D" w:rsidRPr="006D14FC">
        <w:rPr>
          <w:rFonts w:ascii="Times New Roman" w:hAnsi="Times New Roman" w:cs="Times New Roman"/>
          <w:sz w:val="24"/>
          <w:szCs w:val="24"/>
        </w:rPr>
        <w:t xml:space="preserve">. Leveraging these relationships while </w:t>
      </w:r>
      <w:r w:rsidR="00F31E7A" w:rsidRPr="006D14FC">
        <w:rPr>
          <w:rFonts w:ascii="Times New Roman" w:hAnsi="Times New Roman" w:cs="Times New Roman"/>
          <w:sz w:val="24"/>
          <w:szCs w:val="24"/>
        </w:rPr>
        <w:t>using tools such as the ICBA Grassroots Action Center</w:t>
      </w:r>
      <w:r w:rsidR="003E3619">
        <w:rPr>
          <w:rFonts w:ascii="Times New Roman" w:hAnsi="Times New Roman" w:cs="Times New Roman"/>
          <w:sz w:val="24"/>
          <w:szCs w:val="24"/>
        </w:rPr>
        <w:t xml:space="preserve"> (</w:t>
      </w:r>
      <w:r w:rsidR="003E3619" w:rsidRPr="003E3619">
        <w:rPr>
          <w:rFonts w:ascii="Times New Roman" w:hAnsi="Times New Roman" w:cs="Times New Roman"/>
          <w:i/>
          <w:iCs/>
          <w:sz w:val="24"/>
          <w:szCs w:val="24"/>
        </w:rPr>
        <w:t>icba.org/</w:t>
      </w:r>
      <w:proofErr w:type="spellStart"/>
      <w:r w:rsidR="003E3619" w:rsidRPr="003E3619">
        <w:rPr>
          <w:rFonts w:ascii="Times New Roman" w:hAnsi="Times New Roman" w:cs="Times New Roman"/>
          <w:i/>
          <w:iCs/>
          <w:sz w:val="24"/>
          <w:szCs w:val="24"/>
        </w:rPr>
        <w:t>takeaction</w:t>
      </w:r>
      <w:proofErr w:type="spellEnd"/>
      <w:r w:rsidR="003E3619">
        <w:rPr>
          <w:rFonts w:ascii="Times New Roman" w:hAnsi="Times New Roman" w:cs="Times New Roman"/>
          <w:sz w:val="24"/>
          <w:szCs w:val="24"/>
        </w:rPr>
        <w:t>)</w:t>
      </w:r>
      <w:r w:rsidR="00F31E7A" w:rsidRPr="006D14FC">
        <w:rPr>
          <w:rFonts w:ascii="Times New Roman" w:hAnsi="Times New Roman" w:cs="Times New Roman"/>
          <w:sz w:val="24"/>
          <w:szCs w:val="24"/>
        </w:rPr>
        <w:t xml:space="preserve"> to send messages</w:t>
      </w:r>
      <w:r w:rsidR="00D869D4" w:rsidRPr="006D14FC">
        <w:rPr>
          <w:rFonts w:ascii="Times New Roman" w:hAnsi="Times New Roman" w:cs="Times New Roman"/>
          <w:sz w:val="24"/>
          <w:szCs w:val="24"/>
        </w:rPr>
        <w:t xml:space="preserve"> and engaging with the media allowed community bankers to effectively share their message and ensure it was heard by those who needed to hear it. </w:t>
      </w:r>
    </w:p>
    <w:p w14:paraId="2A6DCACC" w14:textId="3ED1DE1C" w:rsidR="00990314" w:rsidRPr="006D14FC" w:rsidRDefault="00990314"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The state associations also played a crucial role in supporting ICBA's efforts. Their involvement added a local voice </w:t>
      </w:r>
      <w:r w:rsidR="00020D3F" w:rsidRPr="006D14FC">
        <w:rPr>
          <w:rFonts w:ascii="Times New Roman" w:hAnsi="Times New Roman" w:cs="Times New Roman"/>
          <w:sz w:val="24"/>
          <w:szCs w:val="24"/>
        </w:rPr>
        <w:t>that amplified ICBA’s lobbying</w:t>
      </w:r>
      <w:r w:rsidR="00C07CF9" w:rsidRPr="006D14FC">
        <w:rPr>
          <w:rFonts w:ascii="Times New Roman" w:hAnsi="Times New Roman" w:cs="Times New Roman"/>
          <w:sz w:val="24"/>
          <w:szCs w:val="24"/>
        </w:rPr>
        <w:t xml:space="preserve">. </w:t>
      </w:r>
    </w:p>
    <w:p w14:paraId="0EA53D9D" w14:textId="3258BABF" w:rsidR="00101DFA" w:rsidRPr="006D14FC" w:rsidRDefault="00C32160" w:rsidP="006D14FC">
      <w:pPr>
        <w:shd w:val="clear" w:color="auto" w:fill="FEFEFE"/>
        <w:spacing w:after="300" w:line="276" w:lineRule="auto"/>
        <w:rPr>
          <w:rFonts w:ascii="Times New Roman" w:hAnsi="Times New Roman" w:cs="Times New Roman"/>
          <w:sz w:val="24"/>
          <w:szCs w:val="24"/>
        </w:rPr>
      </w:pPr>
      <w:r w:rsidRPr="006D14FC">
        <w:rPr>
          <w:rFonts w:ascii="Times New Roman" w:hAnsi="Times New Roman" w:cs="Times New Roman"/>
          <w:sz w:val="24"/>
          <w:szCs w:val="24"/>
        </w:rPr>
        <w:t>ICBA’s message was heard.</w:t>
      </w:r>
      <w:r w:rsidR="00684E11" w:rsidRPr="006D14FC">
        <w:rPr>
          <w:rFonts w:ascii="Times New Roman" w:hAnsi="Times New Roman" w:cs="Times New Roman"/>
          <w:sz w:val="24"/>
          <w:szCs w:val="24"/>
        </w:rPr>
        <w:t xml:space="preserve"> In Senate and House hearings in late March, </w:t>
      </w:r>
      <w:r w:rsidR="00F7692C" w:rsidRPr="006D14FC">
        <w:rPr>
          <w:rFonts w:ascii="Times New Roman" w:hAnsi="Times New Roman" w:cs="Times New Roman"/>
          <w:sz w:val="24"/>
          <w:szCs w:val="24"/>
        </w:rPr>
        <w:t xml:space="preserve">members of </w:t>
      </w:r>
      <w:r w:rsidR="006D14FC">
        <w:rPr>
          <w:rFonts w:ascii="Times New Roman" w:hAnsi="Times New Roman" w:cs="Times New Roman"/>
          <w:sz w:val="24"/>
          <w:szCs w:val="24"/>
        </w:rPr>
        <w:t>C</w:t>
      </w:r>
      <w:r w:rsidR="00F7692C" w:rsidRPr="006D14FC">
        <w:rPr>
          <w:rFonts w:ascii="Times New Roman" w:hAnsi="Times New Roman" w:cs="Times New Roman"/>
          <w:sz w:val="24"/>
          <w:szCs w:val="24"/>
        </w:rPr>
        <w:t>ongress</w:t>
      </w:r>
      <w:r w:rsidR="003522C3" w:rsidRPr="006D14FC">
        <w:rPr>
          <w:rFonts w:ascii="Times New Roman" w:hAnsi="Times New Roman" w:cs="Times New Roman"/>
          <w:sz w:val="24"/>
          <w:szCs w:val="24"/>
        </w:rPr>
        <w:t xml:space="preserve"> repeatedly</w:t>
      </w:r>
      <w:r w:rsidR="00F7692C" w:rsidRPr="006D14FC">
        <w:rPr>
          <w:rFonts w:ascii="Times New Roman" w:hAnsi="Times New Roman" w:cs="Times New Roman"/>
          <w:sz w:val="24"/>
          <w:szCs w:val="24"/>
        </w:rPr>
        <w:t xml:space="preserve"> asked </w:t>
      </w:r>
      <w:r w:rsidR="00073918" w:rsidRPr="006D14FC">
        <w:rPr>
          <w:rFonts w:ascii="Times New Roman" w:hAnsi="Times New Roman" w:cs="Times New Roman"/>
          <w:sz w:val="24"/>
          <w:szCs w:val="24"/>
        </w:rPr>
        <w:t xml:space="preserve">FDIC </w:t>
      </w:r>
      <w:r w:rsidR="006D14FC">
        <w:rPr>
          <w:rFonts w:ascii="Times New Roman" w:hAnsi="Times New Roman" w:cs="Times New Roman"/>
          <w:sz w:val="24"/>
          <w:szCs w:val="24"/>
        </w:rPr>
        <w:t>c</w:t>
      </w:r>
      <w:r w:rsidR="00073918" w:rsidRPr="006D14FC">
        <w:rPr>
          <w:rFonts w:ascii="Times New Roman" w:hAnsi="Times New Roman" w:cs="Times New Roman"/>
          <w:sz w:val="24"/>
          <w:szCs w:val="24"/>
        </w:rPr>
        <w:t xml:space="preserve">hairman Martin Gruenberg </w:t>
      </w:r>
      <w:r w:rsidR="0068580B" w:rsidRPr="006D14FC">
        <w:rPr>
          <w:rFonts w:ascii="Times New Roman" w:hAnsi="Times New Roman" w:cs="Times New Roman"/>
          <w:sz w:val="24"/>
          <w:szCs w:val="24"/>
        </w:rPr>
        <w:t xml:space="preserve">about the possibility of an exemption for community banks. </w:t>
      </w:r>
      <w:r w:rsidR="00101DFA" w:rsidRPr="006D14FC">
        <w:rPr>
          <w:rFonts w:ascii="Times New Roman" w:hAnsi="Times New Roman" w:cs="Times New Roman"/>
          <w:sz w:val="24"/>
          <w:szCs w:val="24"/>
        </w:rPr>
        <w:t>Noting that the FDIC</w:t>
      </w:r>
      <w:r w:rsidR="00AE66F9">
        <w:rPr>
          <w:rFonts w:ascii="Times New Roman" w:hAnsi="Times New Roman" w:cs="Times New Roman"/>
          <w:sz w:val="24"/>
          <w:szCs w:val="24"/>
        </w:rPr>
        <w:t xml:space="preserve"> can</w:t>
      </w:r>
      <w:r w:rsidR="00101DFA" w:rsidRPr="006D14FC">
        <w:rPr>
          <w:rFonts w:ascii="Times New Roman" w:hAnsi="Times New Roman" w:cs="Times New Roman"/>
          <w:sz w:val="24"/>
          <w:szCs w:val="24"/>
        </w:rPr>
        <w:t xml:space="preserve"> tailor the special assessment </w:t>
      </w:r>
      <w:r w:rsidR="00AE66F9">
        <w:rPr>
          <w:rFonts w:ascii="Times New Roman" w:hAnsi="Times New Roman" w:cs="Times New Roman"/>
          <w:sz w:val="24"/>
          <w:szCs w:val="24"/>
        </w:rPr>
        <w:t>as</w:t>
      </w:r>
      <w:r w:rsidR="00101DFA" w:rsidRPr="006D14FC">
        <w:rPr>
          <w:rFonts w:ascii="Times New Roman" w:hAnsi="Times New Roman" w:cs="Times New Roman"/>
          <w:sz w:val="24"/>
          <w:szCs w:val="24"/>
        </w:rPr>
        <w:t xml:space="preserve"> it sees fit, Gruenberg said the FDIC is "keenly sensitive to potential impact on community banks."</w:t>
      </w:r>
    </w:p>
    <w:p w14:paraId="4AA5F842" w14:textId="615253EB" w:rsidR="00405225" w:rsidRPr="006D14FC" w:rsidRDefault="00431738" w:rsidP="006D14FC">
      <w:pPr>
        <w:spacing w:line="276" w:lineRule="auto"/>
        <w:rPr>
          <w:rFonts w:ascii="Times New Roman" w:hAnsi="Times New Roman" w:cs="Times New Roman"/>
          <w:color w:val="212529"/>
          <w:sz w:val="24"/>
          <w:szCs w:val="24"/>
          <w:shd w:val="clear" w:color="auto" w:fill="FFFFFF"/>
        </w:rPr>
      </w:pPr>
      <w:r w:rsidRPr="006D14FC">
        <w:rPr>
          <w:rFonts w:ascii="Times New Roman" w:hAnsi="Times New Roman" w:cs="Times New Roman"/>
          <w:sz w:val="24"/>
          <w:szCs w:val="24"/>
        </w:rPr>
        <w:t xml:space="preserve">On March 30, </w:t>
      </w:r>
      <w:r w:rsidR="00813656" w:rsidRPr="006D14FC">
        <w:rPr>
          <w:rFonts w:ascii="Times New Roman" w:hAnsi="Times New Roman" w:cs="Times New Roman"/>
          <w:sz w:val="24"/>
          <w:szCs w:val="24"/>
        </w:rPr>
        <w:t xml:space="preserve">President Biden released a statement </w:t>
      </w:r>
      <w:r w:rsidR="00F90353" w:rsidRPr="006D14FC">
        <w:rPr>
          <w:rFonts w:ascii="Times New Roman" w:hAnsi="Times New Roman" w:cs="Times New Roman"/>
          <w:sz w:val="24"/>
          <w:szCs w:val="24"/>
        </w:rPr>
        <w:t xml:space="preserve">calling on the FDIC </w:t>
      </w:r>
      <w:r w:rsidR="0030047C" w:rsidRPr="006D14FC">
        <w:rPr>
          <w:rFonts w:ascii="Times New Roman" w:hAnsi="Times New Roman" w:cs="Times New Roman"/>
          <w:color w:val="212529"/>
          <w:sz w:val="24"/>
          <w:szCs w:val="24"/>
          <w:shd w:val="clear" w:color="auto" w:fill="FFFFFF"/>
        </w:rPr>
        <w:t xml:space="preserve">to ensure community banks </w:t>
      </w:r>
      <w:r w:rsidR="00E522B9" w:rsidRPr="006D14FC">
        <w:rPr>
          <w:rFonts w:ascii="Times New Roman" w:hAnsi="Times New Roman" w:cs="Times New Roman"/>
          <w:color w:val="212529"/>
          <w:sz w:val="24"/>
          <w:szCs w:val="24"/>
          <w:shd w:val="clear" w:color="auto" w:fill="FFFFFF"/>
        </w:rPr>
        <w:t>would</w:t>
      </w:r>
      <w:r w:rsidR="0030047C" w:rsidRPr="006D14FC">
        <w:rPr>
          <w:rFonts w:ascii="Times New Roman" w:hAnsi="Times New Roman" w:cs="Times New Roman"/>
          <w:color w:val="212529"/>
          <w:sz w:val="24"/>
          <w:szCs w:val="24"/>
          <w:shd w:val="clear" w:color="auto" w:fill="FFFFFF"/>
        </w:rPr>
        <w:t xml:space="preserve"> not </w:t>
      </w:r>
      <w:r w:rsidR="00E522B9" w:rsidRPr="006D14FC">
        <w:rPr>
          <w:rFonts w:ascii="Times New Roman" w:hAnsi="Times New Roman" w:cs="Times New Roman"/>
          <w:color w:val="212529"/>
          <w:sz w:val="24"/>
          <w:szCs w:val="24"/>
          <w:shd w:val="clear" w:color="auto" w:fill="FFFFFF"/>
        </w:rPr>
        <w:t xml:space="preserve">be </w:t>
      </w:r>
      <w:r w:rsidR="0030047C" w:rsidRPr="006D14FC">
        <w:rPr>
          <w:rFonts w:ascii="Times New Roman" w:hAnsi="Times New Roman" w:cs="Times New Roman"/>
          <w:color w:val="212529"/>
          <w:sz w:val="24"/>
          <w:szCs w:val="24"/>
          <w:shd w:val="clear" w:color="auto" w:fill="FFFFFF"/>
        </w:rPr>
        <w:t>required to bear the costs of replenishing the</w:t>
      </w:r>
      <w:r w:rsidR="00AE66F9">
        <w:rPr>
          <w:rFonts w:ascii="Times New Roman" w:hAnsi="Times New Roman" w:cs="Times New Roman"/>
          <w:color w:val="212529"/>
          <w:sz w:val="24"/>
          <w:szCs w:val="24"/>
          <w:shd w:val="clear" w:color="auto" w:fill="FFFFFF"/>
        </w:rPr>
        <w:t xml:space="preserve"> </w:t>
      </w:r>
      <w:r w:rsidR="0030047C" w:rsidRPr="006D14FC">
        <w:rPr>
          <w:rFonts w:ascii="Times New Roman" w:hAnsi="Times New Roman" w:cs="Times New Roman"/>
          <w:color w:val="212529"/>
          <w:sz w:val="24"/>
          <w:szCs w:val="24"/>
          <w:shd w:val="clear" w:color="auto" w:fill="FFFFFF"/>
        </w:rPr>
        <w:t>DIF</w:t>
      </w:r>
      <w:r w:rsidR="00E522B9" w:rsidRPr="006D14FC">
        <w:rPr>
          <w:rFonts w:ascii="Times New Roman" w:hAnsi="Times New Roman" w:cs="Times New Roman"/>
          <w:color w:val="212529"/>
          <w:sz w:val="24"/>
          <w:szCs w:val="24"/>
          <w:shd w:val="clear" w:color="auto" w:fill="FFFFFF"/>
        </w:rPr>
        <w:t>.</w:t>
      </w:r>
      <w:r w:rsidR="007A10F6" w:rsidRPr="006D14FC">
        <w:rPr>
          <w:rFonts w:ascii="Times New Roman" w:hAnsi="Times New Roman" w:cs="Times New Roman"/>
          <w:color w:val="212529"/>
          <w:sz w:val="24"/>
          <w:szCs w:val="24"/>
          <w:shd w:val="clear" w:color="auto" w:fill="FFFFFF"/>
        </w:rPr>
        <w:t xml:space="preserve"> </w:t>
      </w:r>
      <w:r w:rsidR="00C96FC7" w:rsidRPr="006D14FC">
        <w:rPr>
          <w:rFonts w:ascii="Times New Roman" w:hAnsi="Times New Roman" w:cs="Times New Roman"/>
          <w:color w:val="212529"/>
          <w:sz w:val="24"/>
          <w:szCs w:val="24"/>
          <w:shd w:val="clear" w:color="auto" w:fill="FFFFFF"/>
        </w:rPr>
        <w:t xml:space="preserve">ICBA thanked the White House for its support and sent a letter to the FDIC urging </w:t>
      </w:r>
      <w:r w:rsidR="00AE66F9">
        <w:rPr>
          <w:rFonts w:ascii="Times New Roman" w:hAnsi="Times New Roman" w:cs="Times New Roman"/>
          <w:color w:val="212529"/>
          <w:sz w:val="24"/>
          <w:szCs w:val="24"/>
          <w:shd w:val="clear" w:color="auto" w:fill="FFFFFF"/>
        </w:rPr>
        <w:t xml:space="preserve">that </w:t>
      </w:r>
      <w:r w:rsidR="00C96FC7" w:rsidRPr="006D14FC">
        <w:rPr>
          <w:rFonts w:ascii="Times New Roman" w:hAnsi="Times New Roman" w:cs="Times New Roman"/>
          <w:color w:val="212529"/>
          <w:sz w:val="24"/>
          <w:szCs w:val="24"/>
          <w:shd w:val="clear" w:color="auto" w:fill="FFFFFF"/>
        </w:rPr>
        <w:t>it use discretion.</w:t>
      </w:r>
    </w:p>
    <w:p w14:paraId="5D8B7BD6" w14:textId="2E6A378A" w:rsidR="00C96FC7" w:rsidRPr="006D14FC" w:rsidRDefault="00C96FC7"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“Community banks and their customers shouldn’t have to pay for the miscalculations and speculative practices of large financial institutions like SVB and Signature,” </w:t>
      </w:r>
      <w:r w:rsidR="009C1391" w:rsidRPr="006D14FC">
        <w:rPr>
          <w:rFonts w:ascii="Times New Roman" w:hAnsi="Times New Roman" w:cs="Times New Roman"/>
          <w:sz w:val="24"/>
          <w:szCs w:val="24"/>
        </w:rPr>
        <w:t xml:space="preserve">ICBA </w:t>
      </w:r>
      <w:r w:rsidR="006D14FC">
        <w:rPr>
          <w:rFonts w:ascii="Times New Roman" w:hAnsi="Times New Roman" w:cs="Times New Roman"/>
          <w:sz w:val="24"/>
          <w:szCs w:val="24"/>
        </w:rPr>
        <w:t>p</w:t>
      </w:r>
      <w:r w:rsidR="009C1391" w:rsidRPr="006D14FC">
        <w:rPr>
          <w:rFonts w:ascii="Times New Roman" w:hAnsi="Times New Roman" w:cs="Times New Roman"/>
          <w:sz w:val="24"/>
          <w:szCs w:val="24"/>
        </w:rPr>
        <w:t xml:space="preserve">resident and CEO Rebeca </w:t>
      </w:r>
      <w:r w:rsidRPr="006D14FC">
        <w:rPr>
          <w:rFonts w:ascii="Times New Roman" w:hAnsi="Times New Roman" w:cs="Times New Roman"/>
          <w:sz w:val="24"/>
          <w:szCs w:val="24"/>
        </w:rPr>
        <w:t>Romero Rainey wrote. “If any assessment increase is warranted, it should be imposed on the institutions that pose the most risk to the DIF—not community banks.”</w:t>
      </w:r>
    </w:p>
    <w:p w14:paraId="0BAAC7BE" w14:textId="5CCA8F8E" w:rsidR="009C1391" w:rsidRPr="006D14FC" w:rsidRDefault="003B5E0C"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ICBA claimed victory for community banks on May 11 when the </w:t>
      </w:r>
      <w:r w:rsidR="00C035A9" w:rsidRPr="006D14FC">
        <w:rPr>
          <w:rFonts w:ascii="Times New Roman" w:hAnsi="Times New Roman" w:cs="Times New Roman"/>
          <w:sz w:val="24"/>
          <w:szCs w:val="24"/>
        </w:rPr>
        <w:t>FDIC proposed</w:t>
      </w:r>
      <w:r w:rsidR="001D551B" w:rsidRPr="006D14FC">
        <w:rPr>
          <w:rFonts w:ascii="Times New Roman" w:hAnsi="Times New Roman" w:cs="Times New Roman"/>
          <w:color w:val="212529"/>
          <w:sz w:val="24"/>
          <w:szCs w:val="24"/>
          <w:shd w:val="clear" w:color="auto" w:fill="FFFFFF"/>
        </w:rPr>
        <w:t xml:space="preserve"> </w:t>
      </w:r>
      <w:r w:rsidR="001D551B" w:rsidRPr="006D14FC">
        <w:rPr>
          <w:rFonts w:ascii="Times New Roman" w:hAnsi="Times New Roman" w:cs="Times New Roman"/>
          <w:sz w:val="24"/>
          <w:szCs w:val="24"/>
        </w:rPr>
        <w:t>to fully exempt community banks under $5 billion in assets</w:t>
      </w:r>
      <w:r w:rsidR="00933D2E" w:rsidRPr="006D14FC">
        <w:rPr>
          <w:rFonts w:ascii="Times New Roman" w:hAnsi="Times New Roman" w:cs="Times New Roman"/>
          <w:sz w:val="24"/>
          <w:szCs w:val="24"/>
        </w:rPr>
        <w:t xml:space="preserve"> from the assessment</w:t>
      </w:r>
      <w:r w:rsidR="00A64B4A" w:rsidRPr="006D14FC">
        <w:rPr>
          <w:rFonts w:ascii="Times New Roman" w:hAnsi="Times New Roman" w:cs="Times New Roman"/>
          <w:sz w:val="24"/>
          <w:szCs w:val="24"/>
        </w:rPr>
        <w:t xml:space="preserve">. ICBA commended the FDIC for the proposal, which shields the </w:t>
      </w:r>
      <w:r w:rsidR="00933D2E" w:rsidRPr="006D14FC">
        <w:rPr>
          <w:rFonts w:ascii="Times New Roman" w:hAnsi="Times New Roman" w:cs="Times New Roman"/>
          <w:sz w:val="24"/>
          <w:szCs w:val="24"/>
        </w:rPr>
        <w:t>majority of ICBA members.</w:t>
      </w:r>
      <w:r w:rsidR="00C0424C" w:rsidRPr="006D14FC">
        <w:rPr>
          <w:rFonts w:ascii="Times New Roman" w:hAnsi="Times New Roman" w:cs="Times New Roman"/>
          <w:sz w:val="24"/>
          <w:szCs w:val="24"/>
        </w:rPr>
        <w:t xml:space="preserve"> </w:t>
      </w:r>
    </w:p>
    <w:p w14:paraId="279FF491" w14:textId="47F88FB0" w:rsidR="00101DFA" w:rsidRDefault="0046156A"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 xml:space="preserve">ICBA’s efforts to protect community banks from paying for the mistakes of larger, riskier banks highlights the value of a trade association that exclusively represents the </w:t>
      </w:r>
      <w:r w:rsidR="00A26294" w:rsidRPr="006D14FC">
        <w:rPr>
          <w:rFonts w:ascii="Times New Roman" w:hAnsi="Times New Roman" w:cs="Times New Roman"/>
          <w:sz w:val="24"/>
          <w:szCs w:val="24"/>
        </w:rPr>
        <w:t xml:space="preserve">interests of community banks. </w:t>
      </w:r>
      <w:r w:rsidR="0019002D" w:rsidRPr="006D14FC">
        <w:rPr>
          <w:rFonts w:ascii="Times New Roman" w:hAnsi="Times New Roman" w:cs="Times New Roman"/>
          <w:sz w:val="24"/>
          <w:szCs w:val="24"/>
        </w:rPr>
        <w:t xml:space="preserve">ICBA </w:t>
      </w:r>
      <w:r w:rsidR="000F16FF" w:rsidRPr="006D14FC">
        <w:rPr>
          <w:rFonts w:ascii="Times New Roman" w:hAnsi="Times New Roman" w:cs="Times New Roman"/>
          <w:sz w:val="24"/>
          <w:szCs w:val="24"/>
        </w:rPr>
        <w:t>acted swiftly</w:t>
      </w:r>
      <w:r w:rsidR="00A32AB7" w:rsidRPr="006D14FC">
        <w:rPr>
          <w:rFonts w:ascii="Times New Roman" w:hAnsi="Times New Roman" w:cs="Times New Roman"/>
          <w:sz w:val="24"/>
          <w:szCs w:val="24"/>
        </w:rPr>
        <w:t xml:space="preserve"> with a clear and decisive message that recognized</w:t>
      </w:r>
      <w:r w:rsidR="000F16FF" w:rsidRPr="006D14FC">
        <w:rPr>
          <w:rFonts w:ascii="Times New Roman" w:hAnsi="Times New Roman" w:cs="Times New Roman"/>
          <w:sz w:val="24"/>
          <w:szCs w:val="24"/>
        </w:rPr>
        <w:t xml:space="preserve"> the likelihood of a special assessment and the </w:t>
      </w:r>
      <w:r w:rsidR="00BD046C" w:rsidRPr="006D14FC">
        <w:rPr>
          <w:rFonts w:ascii="Times New Roman" w:hAnsi="Times New Roman" w:cs="Times New Roman"/>
          <w:sz w:val="24"/>
          <w:szCs w:val="24"/>
        </w:rPr>
        <w:t>potential</w:t>
      </w:r>
      <w:r w:rsidR="000F16FF" w:rsidRPr="006D14FC">
        <w:rPr>
          <w:rFonts w:ascii="Times New Roman" w:hAnsi="Times New Roman" w:cs="Times New Roman"/>
          <w:sz w:val="24"/>
          <w:szCs w:val="24"/>
        </w:rPr>
        <w:t xml:space="preserve"> impact </w:t>
      </w:r>
      <w:r w:rsidR="00BD046C" w:rsidRPr="006D14FC">
        <w:rPr>
          <w:rFonts w:ascii="Times New Roman" w:hAnsi="Times New Roman" w:cs="Times New Roman"/>
          <w:sz w:val="24"/>
          <w:szCs w:val="24"/>
        </w:rPr>
        <w:t xml:space="preserve">it would have on community banks. </w:t>
      </w:r>
      <w:r w:rsidR="00A87827" w:rsidRPr="006D14FC">
        <w:rPr>
          <w:rFonts w:ascii="Times New Roman" w:hAnsi="Times New Roman" w:cs="Times New Roman"/>
          <w:sz w:val="24"/>
          <w:szCs w:val="24"/>
        </w:rPr>
        <w:t xml:space="preserve">It’s a powerful reminder of the power of collective action and effective advocacy </w:t>
      </w:r>
      <w:r w:rsidR="001E3DC4" w:rsidRPr="006D14FC">
        <w:rPr>
          <w:rFonts w:ascii="Times New Roman" w:hAnsi="Times New Roman" w:cs="Times New Roman"/>
          <w:sz w:val="24"/>
          <w:szCs w:val="24"/>
        </w:rPr>
        <w:t>play in safeguarding the interests of community banks.</w:t>
      </w:r>
    </w:p>
    <w:p w14:paraId="201F6AAB" w14:textId="77777777" w:rsidR="00AE66F9" w:rsidRDefault="00AE66F9" w:rsidP="006D14FC">
      <w:pPr>
        <w:spacing w:line="276" w:lineRule="auto"/>
        <w:rPr>
          <w:rFonts w:ascii="Times New Roman" w:hAnsi="Times New Roman" w:cs="Times New Roman"/>
          <w:sz w:val="24"/>
          <w:szCs w:val="24"/>
        </w:rPr>
      </w:pPr>
    </w:p>
    <w:p w14:paraId="6BBEA567" w14:textId="2E044119" w:rsidR="00AE66F9" w:rsidRDefault="00AE66F9" w:rsidP="006D14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Stephen Keen (</w:t>
      </w:r>
      <w:hyperlink r:id="rId7" w:history="1">
        <w:r w:rsidRPr="008A7DAB">
          <w:rPr>
            <w:rStyle w:val="Hyperlink"/>
            <w:rFonts w:ascii="Times New Roman" w:hAnsi="Times New Roman" w:cs="Times New Roman"/>
            <w:sz w:val="24"/>
            <w:szCs w:val="24"/>
          </w:rPr>
          <w:t>steve.keen@icba.org</w:t>
        </w:r>
      </w:hyperlink>
      <w:r>
        <w:rPr>
          <w:rFonts w:ascii="Times New Roman" w:hAnsi="Times New Roman" w:cs="Times New Roman"/>
          <w:sz w:val="24"/>
          <w:szCs w:val="24"/>
        </w:rPr>
        <w:t>) is vice president, congressional relations.</w:t>
      </w:r>
    </w:p>
    <w:p w14:paraId="06D0E4B1" w14:textId="61065193" w:rsidR="006D14FC"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[ends]</w:t>
      </w:r>
    </w:p>
    <w:p w14:paraId="6AB3D4A6" w14:textId="0AF9B16B" w:rsidR="006D14FC" w:rsidRDefault="006D14FC" w:rsidP="006D14FC">
      <w:pPr>
        <w:spacing w:line="276" w:lineRule="auto"/>
        <w:rPr>
          <w:rFonts w:ascii="Times New Roman" w:hAnsi="Times New Roman" w:cs="Times New Roman"/>
          <w:sz w:val="24"/>
          <w:szCs w:val="24"/>
        </w:rPr>
      </w:pPr>
      <w:r>
        <w:rPr>
          <w:rFonts w:ascii="Times New Roman" w:hAnsi="Times New Roman" w:cs="Times New Roman"/>
          <w:sz w:val="24"/>
          <w:szCs w:val="24"/>
        </w:rPr>
        <w:t>[pull quotes]</w:t>
      </w:r>
    </w:p>
    <w:p w14:paraId="3C42977B" w14:textId="593F3D6D" w:rsidR="006D14FC" w:rsidRPr="006D14FC" w:rsidRDefault="00D027A2" w:rsidP="006D14FC">
      <w:pPr>
        <w:spacing w:line="276" w:lineRule="auto"/>
        <w:rPr>
          <w:rFonts w:ascii="Times New Roman" w:hAnsi="Times New Roman" w:cs="Times New Roman"/>
          <w:sz w:val="24"/>
          <w:szCs w:val="24"/>
        </w:rPr>
      </w:pPr>
      <w:r w:rsidRPr="006D14FC">
        <w:rPr>
          <w:rFonts w:ascii="Times New Roman" w:hAnsi="Times New Roman" w:cs="Times New Roman"/>
          <w:sz w:val="24"/>
          <w:szCs w:val="24"/>
        </w:rPr>
        <w:t>“Community banks and their customers shouldn’t have to pay for the miscalculations and speculative practices of large financial institutions like SVB and Signature</w:t>
      </w:r>
      <w:r>
        <w:rPr>
          <w:rFonts w:ascii="Times New Roman" w:hAnsi="Times New Roman" w:cs="Times New Roman"/>
          <w:sz w:val="24"/>
          <w:szCs w:val="24"/>
        </w:rPr>
        <w:t>.”</w:t>
      </w:r>
      <w:r w:rsidRPr="006D14FC">
        <w:rPr>
          <w:rFonts w:ascii="Times New Roman" w:hAnsi="Times New Roman" w:cs="Times New Roman"/>
          <w:sz w:val="24"/>
          <w:szCs w:val="24"/>
        </w:rPr>
        <w:t xml:space="preserve"> </w:t>
      </w:r>
      <w:r>
        <w:rPr>
          <w:rFonts w:ascii="Times New Roman" w:hAnsi="Times New Roman" w:cs="Times New Roman"/>
          <w:sz w:val="24"/>
          <w:szCs w:val="24"/>
        </w:rPr>
        <w:t>—</w:t>
      </w:r>
      <w:r w:rsidRPr="006D14FC">
        <w:rPr>
          <w:rFonts w:ascii="Times New Roman" w:hAnsi="Times New Roman" w:cs="Times New Roman"/>
          <w:sz w:val="24"/>
          <w:szCs w:val="24"/>
        </w:rPr>
        <w:t>Rebeca Romero Rainey</w:t>
      </w:r>
      <w:r>
        <w:rPr>
          <w:rFonts w:ascii="Times New Roman" w:hAnsi="Times New Roman" w:cs="Times New Roman"/>
          <w:sz w:val="24"/>
          <w:szCs w:val="24"/>
        </w:rPr>
        <w:t>, ICBA</w:t>
      </w:r>
    </w:p>
    <w:sectPr w:rsidR="006D14FC" w:rsidRPr="006D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43"/>
    <w:rsid w:val="00017478"/>
    <w:rsid w:val="00020D3F"/>
    <w:rsid w:val="000440B3"/>
    <w:rsid w:val="00047E0E"/>
    <w:rsid w:val="000616CC"/>
    <w:rsid w:val="00073918"/>
    <w:rsid w:val="000B6A26"/>
    <w:rsid w:val="000F16FF"/>
    <w:rsid w:val="00101DFA"/>
    <w:rsid w:val="00111876"/>
    <w:rsid w:val="0016202C"/>
    <w:rsid w:val="0019002D"/>
    <w:rsid w:val="001A1CBD"/>
    <w:rsid w:val="001C2178"/>
    <w:rsid w:val="001D551B"/>
    <w:rsid w:val="001D6B8D"/>
    <w:rsid w:val="001E3DC4"/>
    <w:rsid w:val="00215487"/>
    <w:rsid w:val="002C134E"/>
    <w:rsid w:val="002E031F"/>
    <w:rsid w:val="0030047C"/>
    <w:rsid w:val="00300A11"/>
    <w:rsid w:val="00336D4B"/>
    <w:rsid w:val="003522C3"/>
    <w:rsid w:val="00375D2F"/>
    <w:rsid w:val="003B5E0C"/>
    <w:rsid w:val="003E3619"/>
    <w:rsid w:val="00405225"/>
    <w:rsid w:val="00431738"/>
    <w:rsid w:val="00442792"/>
    <w:rsid w:val="00457881"/>
    <w:rsid w:val="00457A70"/>
    <w:rsid w:val="0046156A"/>
    <w:rsid w:val="0046759F"/>
    <w:rsid w:val="004F45D9"/>
    <w:rsid w:val="00501966"/>
    <w:rsid w:val="00502F40"/>
    <w:rsid w:val="00593EF5"/>
    <w:rsid w:val="005A51BE"/>
    <w:rsid w:val="005F04EE"/>
    <w:rsid w:val="00637D68"/>
    <w:rsid w:val="00684E11"/>
    <w:rsid w:val="0068580B"/>
    <w:rsid w:val="006A05C5"/>
    <w:rsid w:val="006D14FC"/>
    <w:rsid w:val="006E1BFD"/>
    <w:rsid w:val="0071109C"/>
    <w:rsid w:val="00734FA3"/>
    <w:rsid w:val="0074281F"/>
    <w:rsid w:val="007577CC"/>
    <w:rsid w:val="007A10F6"/>
    <w:rsid w:val="007B050A"/>
    <w:rsid w:val="007F63F4"/>
    <w:rsid w:val="00813656"/>
    <w:rsid w:val="00830F5B"/>
    <w:rsid w:val="00847C86"/>
    <w:rsid w:val="008A0797"/>
    <w:rsid w:val="008E37FE"/>
    <w:rsid w:val="00901894"/>
    <w:rsid w:val="0091337C"/>
    <w:rsid w:val="00922466"/>
    <w:rsid w:val="009310D2"/>
    <w:rsid w:val="00933D2E"/>
    <w:rsid w:val="00990314"/>
    <w:rsid w:val="009C1391"/>
    <w:rsid w:val="009C4F3B"/>
    <w:rsid w:val="009F3291"/>
    <w:rsid w:val="00A26294"/>
    <w:rsid w:val="00A32AB7"/>
    <w:rsid w:val="00A32F5C"/>
    <w:rsid w:val="00A4319B"/>
    <w:rsid w:val="00A52B59"/>
    <w:rsid w:val="00A64B4A"/>
    <w:rsid w:val="00A87827"/>
    <w:rsid w:val="00AE66F9"/>
    <w:rsid w:val="00B626A7"/>
    <w:rsid w:val="00BB5948"/>
    <w:rsid w:val="00BD046C"/>
    <w:rsid w:val="00C035A9"/>
    <w:rsid w:val="00C0424C"/>
    <w:rsid w:val="00C07CF9"/>
    <w:rsid w:val="00C32160"/>
    <w:rsid w:val="00C80343"/>
    <w:rsid w:val="00C96FC7"/>
    <w:rsid w:val="00CB0E4D"/>
    <w:rsid w:val="00D027A2"/>
    <w:rsid w:val="00D24C8F"/>
    <w:rsid w:val="00D72FBD"/>
    <w:rsid w:val="00D869D4"/>
    <w:rsid w:val="00DC40B8"/>
    <w:rsid w:val="00DE13BB"/>
    <w:rsid w:val="00E522B9"/>
    <w:rsid w:val="00F31E7A"/>
    <w:rsid w:val="00F47AF5"/>
    <w:rsid w:val="00F71BF6"/>
    <w:rsid w:val="00F7692C"/>
    <w:rsid w:val="00F777E8"/>
    <w:rsid w:val="00F90353"/>
    <w:rsid w:val="00F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7CF9"/>
  <w15:chartTrackingRefBased/>
  <w15:docId w15:val="{386D3768-A547-4203-87A4-2EC1BCE2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22C3"/>
    <w:pPr>
      <w:spacing w:after="0" w:line="240" w:lineRule="auto"/>
    </w:pPr>
  </w:style>
  <w:style w:type="character" w:styleId="Hyperlink">
    <w:name w:val="Hyperlink"/>
    <w:basedOn w:val="DefaultParagraphFont"/>
    <w:uiPriority w:val="99"/>
    <w:unhideWhenUsed/>
    <w:rsid w:val="00AE66F9"/>
    <w:rPr>
      <w:color w:val="0563C1" w:themeColor="hyperlink"/>
      <w:u w:val="single"/>
    </w:rPr>
  </w:style>
  <w:style w:type="character" w:styleId="UnresolvedMention">
    <w:name w:val="Unresolved Mention"/>
    <w:basedOn w:val="DefaultParagraphFont"/>
    <w:uiPriority w:val="99"/>
    <w:semiHidden/>
    <w:unhideWhenUsed/>
    <w:rsid w:val="00AE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779">
      <w:bodyDiv w:val="1"/>
      <w:marLeft w:val="0"/>
      <w:marRight w:val="0"/>
      <w:marTop w:val="0"/>
      <w:marBottom w:val="0"/>
      <w:divBdr>
        <w:top w:val="none" w:sz="0" w:space="0" w:color="auto"/>
        <w:left w:val="none" w:sz="0" w:space="0" w:color="auto"/>
        <w:bottom w:val="none" w:sz="0" w:space="0" w:color="auto"/>
        <w:right w:val="none" w:sz="0" w:space="0" w:color="auto"/>
      </w:divBdr>
    </w:div>
    <w:div w:id="80755382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7422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teve.keen@icb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A80E7764D048929F1DCDBDA9FC9F" ma:contentTypeVersion="15" ma:contentTypeDescription="Create a new document." ma:contentTypeScope="" ma:versionID="20794e2bd00e4d6101719e6d2f0ff1b0">
  <xsd:schema xmlns:xsd="http://www.w3.org/2001/XMLSchema" xmlns:xs="http://www.w3.org/2001/XMLSchema" xmlns:p="http://schemas.microsoft.com/office/2006/metadata/properties" xmlns:ns1="http://schemas.microsoft.com/sharepoint/v3" xmlns:ns3="226dd09b-a878-4d09-960a-0e4f7f040c74" xmlns:ns4="d81b1e91-3ee5-424a-af94-a6d9a7d64c55" targetNamespace="http://schemas.microsoft.com/office/2006/metadata/properties" ma:root="true" ma:fieldsID="8d871c2325e8110c6b9dcb443b6aabc8" ns1:_="" ns3:_="" ns4:_="">
    <xsd:import namespace="http://schemas.microsoft.com/sharepoint/v3"/>
    <xsd:import namespace="226dd09b-a878-4d09-960a-0e4f7f040c74"/>
    <xsd:import namespace="d81b1e91-3ee5-424a-af94-a6d9a7d64c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dd09b-a878-4d09-960a-0e4f7f040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b1e91-3ee5-424a-af94-a6d9a7d64c5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E3EEF-9D60-4EBA-82E7-4DE3F3C8DD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5B741B-B34D-4299-83A2-C61855AA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6dd09b-a878-4d09-960a-0e4f7f040c74"/>
    <ds:schemaRef ds:uri="d81b1e91-3ee5-424a-af94-a6d9a7d64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95D47-B95C-48DF-986C-CA9124A52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Rachel Hatcher</cp:lastModifiedBy>
  <cp:revision>3</cp:revision>
  <dcterms:created xsi:type="dcterms:W3CDTF">2023-06-09T16:08:00Z</dcterms:created>
  <dcterms:modified xsi:type="dcterms:W3CDTF">2023-06-21T15:10:00Z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0x010100EA93A80E7764D048929F1DCDBDA9FC9F</vt:lpwstr>
  </property>
</Properties>
</file>