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F87E" w14:textId="4A6AF6ED" w:rsidR="00682FB2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>Independent Banker</w:t>
      </w:r>
      <w:r w:rsidRPr="00682FB2">
        <w:rPr>
          <w:rFonts w:ascii="Times New Roman" w:hAnsi="Times New Roman" w:cs="Times New Roman"/>
          <w:sz w:val="24"/>
          <w:szCs w:val="24"/>
        </w:rPr>
        <w:br/>
        <w:t>February 2024</w:t>
      </w:r>
      <w:r w:rsidRPr="00682FB2"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1B65BE20" w14:textId="4518CB1F" w:rsidR="00682FB2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>[tag] Checks &amp; Balances</w:t>
      </w:r>
    </w:p>
    <w:p w14:paraId="4943F091" w14:textId="55B15C65" w:rsidR="00237323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 xml:space="preserve">[hed] </w:t>
      </w:r>
      <w:r w:rsidR="0062779C" w:rsidRPr="00682FB2">
        <w:rPr>
          <w:rFonts w:ascii="Times New Roman" w:hAnsi="Times New Roman" w:cs="Times New Roman"/>
          <w:sz w:val="24"/>
          <w:szCs w:val="24"/>
        </w:rPr>
        <w:t xml:space="preserve">ICBA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779C" w:rsidRPr="00682FB2">
        <w:rPr>
          <w:rFonts w:ascii="Times New Roman" w:hAnsi="Times New Roman" w:cs="Times New Roman"/>
          <w:sz w:val="24"/>
          <w:szCs w:val="24"/>
        </w:rPr>
        <w:t xml:space="preserve">dvocacy: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779C" w:rsidRPr="00682FB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70BE7" w:rsidRPr="00682FB2">
        <w:rPr>
          <w:rFonts w:ascii="Times New Roman" w:hAnsi="Times New Roman" w:cs="Times New Roman"/>
          <w:sz w:val="24"/>
          <w:szCs w:val="24"/>
        </w:rPr>
        <w:t xml:space="preserve">egislative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2779C" w:rsidRPr="00682FB2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779C" w:rsidRPr="00682FB2">
        <w:rPr>
          <w:rFonts w:ascii="Times New Roman" w:hAnsi="Times New Roman" w:cs="Times New Roman"/>
          <w:sz w:val="24"/>
          <w:szCs w:val="24"/>
        </w:rPr>
        <w:t>head</w:t>
      </w:r>
    </w:p>
    <w:p w14:paraId="7BAA971B" w14:textId="081BCCCE" w:rsidR="00682FB2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>[dek]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B5">
        <w:rPr>
          <w:rFonts w:ascii="Times New Roman" w:hAnsi="Times New Roman" w:cs="Times New Roman"/>
          <w:sz w:val="24"/>
          <w:szCs w:val="24"/>
        </w:rPr>
        <w:t xml:space="preserve">Learn about </w:t>
      </w:r>
      <w:r w:rsidR="000A2A3C">
        <w:rPr>
          <w:rFonts w:ascii="Times New Roman" w:hAnsi="Times New Roman" w:cs="Times New Roman"/>
          <w:sz w:val="24"/>
          <w:szCs w:val="24"/>
        </w:rPr>
        <w:t>the</w:t>
      </w:r>
      <w:r w:rsidR="00BA7EB5">
        <w:rPr>
          <w:rFonts w:ascii="Times New Roman" w:hAnsi="Times New Roman" w:cs="Times New Roman"/>
          <w:sz w:val="24"/>
          <w:szCs w:val="24"/>
        </w:rPr>
        <w:t xml:space="preserve"> legislative issues ICBA is prioritizing in 2024</w:t>
      </w:r>
      <w:r w:rsidR="000A2A3C">
        <w:rPr>
          <w:rFonts w:ascii="Times New Roman" w:hAnsi="Times New Roman" w:cs="Times New Roman"/>
          <w:sz w:val="24"/>
          <w:szCs w:val="24"/>
        </w:rPr>
        <w:t>—</w:t>
      </w:r>
      <w:r w:rsidR="00BA7EB5">
        <w:rPr>
          <w:rFonts w:ascii="Times New Roman" w:hAnsi="Times New Roman" w:cs="Times New Roman"/>
          <w:sz w:val="24"/>
          <w:szCs w:val="24"/>
        </w:rPr>
        <w:t>and how you can help.</w:t>
      </w:r>
    </w:p>
    <w:p w14:paraId="242EED65" w14:textId="6B844DCA" w:rsidR="00B42562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 xml:space="preserve">[byline] </w:t>
      </w:r>
      <w:r w:rsidR="00B42562" w:rsidRPr="00682FB2">
        <w:rPr>
          <w:rFonts w:ascii="Times New Roman" w:hAnsi="Times New Roman" w:cs="Times New Roman"/>
          <w:sz w:val="24"/>
          <w:szCs w:val="24"/>
        </w:rPr>
        <w:t>By Paul Merski</w:t>
      </w:r>
    </w:p>
    <w:p w14:paraId="6DB695FC" w14:textId="0C2C7E04" w:rsidR="00682FB2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>[body]</w:t>
      </w:r>
    </w:p>
    <w:p w14:paraId="7419D632" w14:textId="2D8CABFE" w:rsidR="009B49D4" w:rsidRPr="00682FB2" w:rsidRDefault="00070BE7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 xml:space="preserve">It’s still early in 2024, but ICBA’s legislative advocacy team is already </w:t>
      </w:r>
      <w:r w:rsidR="00B42562" w:rsidRPr="00682FB2">
        <w:rPr>
          <w:rFonts w:ascii="Times New Roman" w:hAnsi="Times New Roman" w:cs="Times New Roman"/>
          <w:sz w:val="24"/>
          <w:szCs w:val="24"/>
        </w:rPr>
        <w:t xml:space="preserve">making inroads on </w:t>
      </w:r>
      <w:r w:rsidR="000A2A3C">
        <w:rPr>
          <w:rFonts w:ascii="Times New Roman" w:hAnsi="Times New Roman" w:cs="Times New Roman"/>
          <w:sz w:val="24"/>
          <w:szCs w:val="24"/>
        </w:rPr>
        <w:t>our</w:t>
      </w:r>
      <w:r w:rsidR="000A2A3C" w:rsidRPr="00682FB2">
        <w:rPr>
          <w:rFonts w:ascii="Times New Roman" w:hAnsi="Times New Roman" w:cs="Times New Roman"/>
          <w:sz w:val="24"/>
          <w:szCs w:val="24"/>
        </w:rPr>
        <w:t xml:space="preserve"> </w:t>
      </w:r>
      <w:r w:rsidR="00B42562" w:rsidRPr="00682FB2">
        <w:rPr>
          <w:rFonts w:ascii="Times New Roman" w:hAnsi="Times New Roman" w:cs="Times New Roman"/>
          <w:sz w:val="24"/>
          <w:szCs w:val="24"/>
        </w:rPr>
        <w:t xml:space="preserve">key legislative priorities. </w:t>
      </w:r>
    </w:p>
    <w:p w14:paraId="48A3115E" w14:textId="0ED6B993" w:rsidR="0062779C" w:rsidRDefault="00C01CF0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 xml:space="preserve">With a full slate of issues requiring our attention, here are </w:t>
      </w:r>
      <w:r w:rsidR="009368B9" w:rsidRPr="00682FB2">
        <w:rPr>
          <w:rFonts w:ascii="Times New Roman" w:hAnsi="Times New Roman" w:cs="Times New Roman"/>
          <w:sz w:val="24"/>
          <w:szCs w:val="24"/>
        </w:rPr>
        <w:t xml:space="preserve">a few </w:t>
      </w:r>
      <w:r w:rsidR="00F93032" w:rsidRPr="00682FB2">
        <w:rPr>
          <w:rFonts w:ascii="Times New Roman" w:hAnsi="Times New Roman" w:cs="Times New Roman"/>
          <w:sz w:val="24"/>
          <w:szCs w:val="24"/>
        </w:rPr>
        <w:t xml:space="preserve">key </w:t>
      </w:r>
      <w:r w:rsidR="009B49D4" w:rsidRPr="00682FB2">
        <w:rPr>
          <w:rFonts w:ascii="Times New Roman" w:hAnsi="Times New Roman" w:cs="Times New Roman"/>
          <w:sz w:val="24"/>
          <w:szCs w:val="24"/>
        </w:rPr>
        <w:t xml:space="preserve">issues </w:t>
      </w:r>
      <w:r w:rsidR="009368B9" w:rsidRPr="00682FB2">
        <w:rPr>
          <w:rFonts w:ascii="Times New Roman" w:hAnsi="Times New Roman" w:cs="Times New Roman"/>
          <w:sz w:val="24"/>
          <w:szCs w:val="24"/>
        </w:rPr>
        <w:t>ICBA will advocat</w:t>
      </w:r>
      <w:r w:rsidR="00682FB2">
        <w:rPr>
          <w:rFonts w:ascii="Times New Roman" w:hAnsi="Times New Roman" w:cs="Times New Roman"/>
          <w:sz w:val="24"/>
          <w:szCs w:val="24"/>
        </w:rPr>
        <w:t>e for</w:t>
      </w:r>
      <w:r w:rsidR="009368B9" w:rsidRPr="00682FB2">
        <w:rPr>
          <w:rFonts w:ascii="Times New Roman" w:hAnsi="Times New Roman" w:cs="Times New Roman"/>
          <w:sz w:val="24"/>
          <w:szCs w:val="24"/>
        </w:rPr>
        <w:t xml:space="preserve"> in 2024</w:t>
      </w:r>
      <w:r w:rsidR="009B49D4" w:rsidRPr="00682FB2">
        <w:rPr>
          <w:rFonts w:ascii="Times New Roman" w:hAnsi="Times New Roman" w:cs="Times New Roman"/>
          <w:sz w:val="24"/>
          <w:szCs w:val="24"/>
        </w:rPr>
        <w:t>:</w:t>
      </w:r>
    </w:p>
    <w:p w14:paraId="597374FB" w14:textId="77777777" w:rsidR="000A2A3C" w:rsidRPr="00682FB2" w:rsidRDefault="000A2A3C" w:rsidP="00682FB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3E92EF" w14:textId="615F395A" w:rsidR="004F6A60" w:rsidRPr="00682FB2" w:rsidRDefault="00682FB2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[subhed] </w:t>
      </w:r>
      <w:r w:rsidR="004F6A60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Banking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4F6A60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annabis-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4F6A60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elated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4F6A60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usinesses</w:t>
      </w:r>
    </w:p>
    <w:p w14:paraId="494A5357" w14:textId="25212F01" w:rsidR="00682FB2" w:rsidRDefault="004F6A60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After making substantial headway in 2023 with the Senate</w:t>
      </w:r>
      <w:r w:rsidR="00CF058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Banking Committee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F058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voting to advance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bipartisan </w:t>
      </w:r>
      <w:r w:rsidR="000C789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Secure and Fair Enforcement Regulation (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SAFER</w:t>
      </w:r>
      <w:r w:rsidR="000C789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Banking Act (S. 2860), ICBA</w:t>
      </w:r>
      <w:r w:rsidR="00CF058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push for a full Senate vote</w:t>
      </w:r>
      <w:r w:rsidR="00F93032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CF058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also be pressing House members to take up the bill. The previous version of the bill, </w:t>
      </w:r>
      <w:r w:rsid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CF058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he SAFE Act, passed the House seven times in past sessions of Congress.</w:t>
      </w:r>
    </w:p>
    <w:p w14:paraId="37A6634B" w14:textId="36C395E7" w:rsidR="00CF058D" w:rsidRPr="00682FB2" w:rsidRDefault="00CF058D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bipartisan legislation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would 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create a safe harbor from federal sanctions for financial institutions serving cannabis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-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related businesses in states where cannabis is legal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. It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would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prevent federal banking regulators from threatening or limiting a bank’s deposit insurance, </w:t>
      </w:r>
      <w:r w:rsidR="000A2A3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downgrad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ing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a loan, prohibit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ing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or </w:t>
      </w:r>
      <w:r w:rsidR="000A2A3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discourag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ing</w:t>
      </w:r>
      <w:r w:rsidR="000A2A3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provision of banking services, or </w:t>
      </w:r>
      <w:r w:rsidR="000A2A3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tak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ing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any other prejudicial action on banks solely for serving a cannabis-related business. Passing the bill would reduce a serious public safety risk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,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as many cannabis businesses are 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currently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forced to do business almost exclusively in cash.</w:t>
      </w:r>
    </w:p>
    <w:p w14:paraId="6BF253CA" w14:textId="77777777" w:rsidR="00CF058D" w:rsidRPr="00682FB2" w:rsidRDefault="00CF058D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34C1C9" w14:textId="1521ED7B" w:rsidR="000C7897" w:rsidRPr="00682FB2" w:rsidRDefault="00682FB2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[subhed] </w:t>
      </w:r>
      <w:r w:rsidR="000C789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Tax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0C789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ncentives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0C789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ural America</w:t>
      </w:r>
    </w:p>
    <w:p w14:paraId="00E718BC" w14:textId="20B6FE7F" w:rsidR="00C36AE0" w:rsidRPr="00682FB2" w:rsidRDefault="006F6131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ICBA is a staunch advocate </w:t>
      </w:r>
      <w:r w:rsidR="00A4152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for rural community banks and will continue to push for passage of t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he Access to Credit for our Rural Economy (ACRE) Act </w:t>
      </w:r>
      <w:r w:rsidR="005B5748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(H.R. 3139, S. 2371)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. ACRE was 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introduced 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 2023 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by Sens. Jerry Moran (R-Kan</w:t>
      </w:r>
      <w:r w:rsidR="00D96F4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.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) and Angus King (I-Maine) </w:t>
      </w:r>
      <w:r w:rsidR="00124BF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 the Senate and 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Reps. Randy Feenstra (R-Iowa) and Wiley Nickel (D-N.C.)</w:t>
      </w:r>
      <w:r w:rsidR="00124BF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in the House. The bill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would </w:t>
      </w:r>
      <w:r w:rsidR="00124BF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create a tax exclusion for 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interest income on farm real estate and rural mortgage loans, allowing </w:t>
      </w:r>
      <w:r w:rsidR="000C78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lastRenderedPageBreak/>
        <w:t>community banks to lower loan rates and more efficiently serve these borrowers.</w:t>
      </w:r>
      <w:r w:rsidR="00D14C1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E8209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It would also provide relief for loans secured by agricultural and aquaculture real estate or by rural single-family homes that are the borrower's principal residence and below the value of $750,000 in towns with populations 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of less than </w:t>
      </w:r>
      <w:r w:rsidR="00E8209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2,500. </w:t>
      </w:r>
    </w:p>
    <w:p w14:paraId="43F6DC39" w14:textId="251B8196" w:rsidR="00C36AE0" w:rsidRPr="00682FB2" w:rsidRDefault="00C36AE0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ACRE Act, the successor to </w:t>
      </w:r>
      <w:r w:rsidR="00452D6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</w:t>
      </w:r>
      <w:r w:rsid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Enhancing Credit Opportunities for Rural America (</w:t>
      </w:r>
      <w:r w:rsidR="00452D6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ECORA</w:t>
      </w:r>
      <w:r w:rsid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)</w:t>
      </w:r>
      <w:r w:rsidR="00452D6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Act of the previous Congress, would promote prosperity </w:t>
      </w:r>
      <w:r w:rsidR="00D46803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in rural economies, especially among </w:t>
      </w:r>
      <w:r w:rsidR="00B02241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young, beginning and small farmers and ranchers 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who are</w:t>
      </w:r>
      <w:r w:rsidR="00B02241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trying to obtain loans in this higher</w:t>
      </w:r>
      <w:r w:rsidR="00B02241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interest rate</w:t>
      </w:r>
      <w:r w:rsidR="00E3456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environment</w:t>
      </w:r>
      <w:r w:rsidR="00B02241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.</w:t>
      </w:r>
    </w:p>
    <w:p w14:paraId="08787230" w14:textId="77777777" w:rsidR="00C36AE0" w:rsidRPr="00682FB2" w:rsidRDefault="00C36AE0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</w:p>
    <w:p w14:paraId="29A4CDBD" w14:textId="4A833CAD" w:rsidR="00880EDA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[subhed] </w:t>
      </w:r>
      <w:r w:rsidR="00880ED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Closing the ILC loophole</w:t>
      </w:r>
    </w:p>
    <w:p w14:paraId="34F54E9D" w14:textId="57F5DC94" w:rsidR="00E74FDA" w:rsidRPr="00682FB2" w:rsidRDefault="00ED3445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separation of banking and commerce </w:t>
      </w:r>
      <w:r w:rsidR="00DB3103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is essential to the safety and soundness of the financial system and must be protected. 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This core tenet of the nation’s financial system </w:t>
      </w:r>
      <w:r w:rsidR="00EA405B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prevents concerns about impartial allocation of credit, conflicts of interest, a dangerous concentration of commercial economic power</w:t>
      </w:r>
      <w:r w:rsidR="000A2A3C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,</w:t>
      </w:r>
      <w:r w:rsidR="00EA405B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and </w:t>
      </w:r>
      <w:r w:rsidR="001B56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extension of the federal safety net to commercial interests. </w:t>
      </w:r>
    </w:p>
    <w:p w14:paraId="7C9E268C" w14:textId="55E71C5B" w:rsidR="000A2A3C" w:rsidRDefault="00DB3103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That’s why ICBA will continue to push for </w:t>
      </w:r>
      <w:r w:rsidR="00FC646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the closure of the industrial loan company (ILC) loophole, which </w:t>
      </w:r>
      <w:r w:rsidR="005476C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large technology companies </w:t>
      </w:r>
      <w:r w:rsidR="001B5697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like Rakuten </w:t>
      </w:r>
      <w:r w:rsidR="005476C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have tried to exploit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. </w:t>
      </w:r>
      <w:r w:rsidR="0021707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ICBA wants to close the ILC loophole to ensure that large companies like Amazon, </w:t>
      </w:r>
      <w:r w:rsid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Meta and</w:t>
      </w:r>
      <w:r w:rsidR="0021707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Google can’t</w:t>
      </w:r>
      <w:r w:rsidR="00B949A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avoid the legal </w:t>
      </w:r>
      <w:r w:rsidR="000E34C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prohibitions, oversight and restriction</w:t>
      </w:r>
      <w:r w:rsidR="001A112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s</w:t>
      </w:r>
      <w:r w:rsidR="000E34C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on commercial activities under the Bank Holding Company Act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that apply to traditional banks</w:t>
      </w:r>
      <w:r w:rsidR="000E34C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.</w:t>
      </w:r>
      <w:r w:rsidR="00FB6D4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</w:p>
    <w:p w14:paraId="4275A3DF" w14:textId="1AC90C60" w:rsidR="000F75C7" w:rsidRPr="00682FB2" w:rsidRDefault="000A2A3C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Through this loophole, </w:t>
      </w:r>
      <w:r w:rsidR="00FB6D4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the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se companies</w:t>
      </w:r>
      <w:r w:rsidR="00FB6D4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21707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could </w:t>
      </w:r>
      <w:r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enjoy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21707D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the</w:t>
      </w:r>
      <w:r w:rsidR="00FB6D4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privileges of a bank without</w:t>
      </w:r>
      <w:r w:rsidR="001A112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the </w:t>
      </w:r>
      <w:r w:rsidR="002D384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same </w:t>
      </w:r>
      <w:r w:rsidR="001A1129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accountability.</w:t>
      </w:r>
      <w:r w:rsidR="00FF688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82483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Allowing e</w:t>
      </w:r>
      <w:r w:rsidR="00FF688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ntities that engage in</w:t>
      </w:r>
      <w:r w:rsidR="00FB6D4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FF688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diverse, non-inancial, commercial activities</w:t>
      </w:r>
      <w:r w:rsidR="0082483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to own a</w:t>
      </w:r>
      <w:r w:rsidR="00856F0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lightly regulated bank </w:t>
      </w:r>
      <w:r w:rsidR="0082483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pose</w:t>
      </w:r>
      <w:r w:rsidR="00F93032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s</w:t>
      </w:r>
      <w:r w:rsidR="0082483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a systemic threat to the financia</w:t>
      </w:r>
      <w:r w:rsidR="00856F0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l system, and it must not be allowed.</w:t>
      </w:r>
    </w:p>
    <w:p w14:paraId="7FC7D4D8" w14:textId="77777777" w:rsidR="000F75C7" w:rsidRPr="00682FB2" w:rsidRDefault="000F75C7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</w:p>
    <w:p w14:paraId="0D22F44D" w14:textId="64641FAC" w:rsidR="00B4075D" w:rsidRPr="00682FB2" w:rsidRDefault="00682FB2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[subhed] </w:t>
      </w:r>
      <w:r w:rsidR="00DE6300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Opposing </w:t>
      </w:r>
      <w:r w:rsidR="0097034F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new </w:t>
      </w:r>
      <w:r w:rsidR="00DE6300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interchange restrictions</w:t>
      </w:r>
      <w:r w:rsidR="005476C6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</w:p>
    <w:p w14:paraId="3841D6EC" w14:textId="70200171" w:rsidR="00B4075D" w:rsidRPr="00682FB2" w:rsidRDefault="00B4075D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Community banks serve consumers of all economic </w:t>
      </w:r>
      <w:r w:rsidR="0042556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levels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with transparent</w:t>
      </w:r>
      <w:r w:rsidR="007A1B9F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and sustainable payment card programs</w:t>
      </w:r>
      <w:r w:rsidR="0042556A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, ensuring convenience and access to </w:t>
      </w:r>
      <w:r w:rsidR="00CA2338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the digital economy.</w:t>
      </w:r>
      <w:r w:rsidR="001B3CE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</w:t>
      </w:r>
      <w:r w:rsidR="00336AFF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Interchange income helps cover the cost of these programs</w:t>
      </w:r>
      <w:r w:rsidR="004E20DE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, including popular rewards programs</w:t>
      </w:r>
      <w:r w:rsidR="00336AFF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. Without it, </w:t>
      </w:r>
      <w:r w:rsidR="00F87993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rewards and credit </w:t>
      </w:r>
      <w:r w:rsidR="0034746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programs would have to be discontinued, reducing consumer choice and access</w:t>
      </w:r>
      <w:r w:rsidR="00663490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 to popular card benefits</w:t>
      </w:r>
      <w:r w:rsidR="0034746C"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>.</w:t>
      </w:r>
    </w:p>
    <w:p w14:paraId="18A11A74" w14:textId="2DEC7413" w:rsidR="0034746C" w:rsidRPr="00682FB2" w:rsidRDefault="00253B24" w:rsidP="00682FB2">
      <w:pPr>
        <w:shd w:val="clear" w:color="auto" w:fill="FFFFFF"/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  <w:t xml:space="preserve">ICBA opposes </w:t>
      </w:r>
      <w:r w:rsidRPr="00682FB2">
        <w:rPr>
          <w:rFonts w:ascii="Times New Roman" w:hAnsi="Times New Roman" w:cs="Times New Roman"/>
          <w:sz w:val="24"/>
          <w:szCs w:val="24"/>
        </w:rPr>
        <w:t>the Credit Card Competition Act (S. 1838 and H.R. 3881)</w:t>
      </w:r>
      <w:r w:rsidR="004E20DE" w:rsidRPr="00682FB2">
        <w:rPr>
          <w:rFonts w:ascii="Times New Roman" w:hAnsi="Times New Roman" w:cs="Times New Roman"/>
          <w:sz w:val="24"/>
          <w:szCs w:val="24"/>
        </w:rPr>
        <w:t xml:space="preserve"> (the </w:t>
      </w:r>
      <w:r w:rsidR="0021707D" w:rsidRPr="00682FB2">
        <w:rPr>
          <w:rFonts w:ascii="Times New Roman" w:hAnsi="Times New Roman" w:cs="Times New Roman"/>
          <w:sz w:val="24"/>
          <w:szCs w:val="24"/>
        </w:rPr>
        <w:t>“Durbin-</w:t>
      </w:r>
      <w:r w:rsidR="004E20DE" w:rsidRPr="00682FB2">
        <w:rPr>
          <w:rFonts w:ascii="Times New Roman" w:hAnsi="Times New Roman" w:cs="Times New Roman"/>
          <w:sz w:val="24"/>
          <w:szCs w:val="24"/>
        </w:rPr>
        <w:t>Marshall Amendment</w:t>
      </w:r>
      <w:r w:rsidR="0021707D" w:rsidRPr="00682FB2">
        <w:rPr>
          <w:rFonts w:ascii="Times New Roman" w:hAnsi="Times New Roman" w:cs="Times New Roman"/>
          <w:sz w:val="24"/>
          <w:szCs w:val="24"/>
        </w:rPr>
        <w:t>”</w:t>
      </w:r>
      <w:r w:rsidR="004E20DE" w:rsidRPr="00682FB2">
        <w:rPr>
          <w:rFonts w:ascii="Times New Roman" w:hAnsi="Times New Roman" w:cs="Times New Roman"/>
          <w:sz w:val="24"/>
          <w:szCs w:val="24"/>
        </w:rPr>
        <w:t>)</w:t>
      </w:r>
      <w:r w:rsidR="00DB7A70" w:rsidRPr="00682FB2">
        <w:rPr>
          <w:rFonts w:ascii="Times New Roman" w:hAnsi="Times New Roman" w:cs="Times New Roman"/>
          <w:sz w:val="24"/>
          <w:szCs w:val="24"/>
        </w:rPr>
        <w:t>, which would expand interchange restriction</w:t>
      </w:r>
      <w:r w:rsidR="00E168A6" w:rsidRPr="00682FB2">
        <w:rPr>
          <w:rFonts w:ascii="Times New Roman" w:hAnsi="Times New Roman" w:cs="Times New Roman"/>
          <w:sz w:val="24"/>
          <w:szCs w:val="24"/>
        </w:rPr>
        <w:t>s by creating new credit card routing mandates</w:t>
      </w:r>
      <w:r w:rsidR="009368B9" w:rsidRPr="00682FB2">
        <w:rPr>
          <w:rFonts w:ascii="Times New Roman" w:hAnsi="Times New Roman" w:cs="Times New Roman"/>
          <w:sz w:val="24"/>
          <w:szCs w:val="24"/>
        </w:rPr>
        <w:t>.</w:t>
      </w:r>
      <w:r w:rsidR="00682FB2">
        <w:rPr>
          <w:rFonts w:ascii="Times New Roman" w:hAnsi="Times New Roman" w:cs="Times New Roman"/>
          <w:sz w:val="24"/>
          <w:szCs w:val="24"/>
        </w:rPr>
        <w:t xml:space="preserve"> </w:t>
      </w:r>
      <w:r w:rsidR="009368B9" w:rsidRPr="00682FB2">
        <w:rPr>
          <w:rFonts w:ascii="Times New Roman" w:hAnsi="Times New Roman" w:cs="Times New Roman"/>
          <w:sz w:val="24"/>
          <w:szCs w:val="24"/>
        </w:rPr>
        <w:t xml:space="preserve">This would end up forcing all banks </w:t>
      </w:r>
      <w:r w:rsidR="00E168A6" w:rsidRPr="00682FB2">
        <w:rPr>
          <w:rFonts w:ascii="Times New Roman" w:hAnsi="Times New Roman" w:cs="Times New Roman"/>
          <w:sz w:val="24"/>
          <w:szCs w:val="24"/>
        </w:rPr>
        <w:t xml:space="preserve">to subsidize </w:t>
      </w:r>
      <w:r w:rsidR="008E260C" w:rsidRPr="00682FB2">
        <w:rPr>
          <w:rFonts w:ascii="Times New Roman" w:hAnsi="Times New Roman" w:cs="Times New Roman"/>
          <w:sz w:val="24"/>
          <w:szCs w:val="24"/>
        </w:rPr>
        <w:t xml:space="preserve">costly system-wide changes that would put customer data at risk. </w:t>
      </w:r>
    </w:p>
    <w:p w14:paraId="0C401177" w14:textId="77777777" w:rsidR="00EE252B" w:rsidRPr="00682FB2" w:rsidRDefault="00EE252B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C6818C" w14:textId="392AFC06" w:rsidR="00EE252B" w:rsidRPr="00682FB2" w:rsidRDefault="00682FB2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[subhed] </w:t>
      </w:r>
      <w:r w:rsidR="00EE252B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Add your community bank’s voice</w:t>
      </w:r>
      <w:r w:rsidR="009368B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our</w:t>
      </w:r>
      <w:r w:rsidR="009368B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advocacy agenda</w:t>
      </w:r>
    </w:p>
    <w:p w14:paraId="39E80338" w14:textId="27C65E7D" w:rsidR="00875493" w:rsidRPr="00682FB2" w:rsidRDefault="009368B9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are many more issues ICBA’s advocacy team will </w:t>
      </w:r>
      <w:r w:rsidR="002D384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address</w:t>
      </w:r>
      <w:r w:rsid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including CFPB’s 1071 rule, opposing bad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0A2A3C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entral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0A2A3C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ank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0A2A3C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igital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0A2A3C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urrency 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(CBDC) and nonbank stablecoin proposals, and supporting a robust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>Farm Bill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E252B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While ICBA’s staff and leadership will be focused on advocating </w:t>
      </w:r>
      <w:r w:rsidR="00485195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these issues, we need community bankers like you to </w:t>
      </w:r>
      <w:r w:rsidR="00663490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share your stories and engage with policymakers</w:t>
      </w:r>
      <w:r w:rsidR="0060262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741B5D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As constituents and community influencers, you are uniquely positioned to explain the real-world impact of these legislative issues</w:t>
      </w:r>
      <w:r w:rsidR="00C43A98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A2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="00C43A98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your bank, your customers and your community</w:t>
      </w:r>
      <w:r w:rsidR="002D384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75493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CECEF9E" w14:textId="0023A560" w:rsidR="00616A8E" w:rsidRPr="00682FB2" w:rsidRDefault="00BE4F61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The ICBA Action Center is a great place to start</w:t>
      </w:r>
      <w:r w:rsidR="00F3510F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provides </w:t>
      </w:r>
      <w:r w:rsidR="002D384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sample</w:t>
      </w:r>
      <w:r w:rsidR="00F3510F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letters you can send to </w:t>
      </w:r>
      <w:r w:rsidR="009E071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F3510F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ongress</w:t>
      </w:r>
      <w:r w:rsidR="00A36A4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D384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Importantly</w:t>
      </w:r>
      <w:r w:rsidR="00A36A4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, you can personalize the letters to maximize</w:t>
      </w:r>
      <w:r w:rsidR="004E20D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impact.</w:t>
      </w:r>
      <w:r w:rsidR="00F87993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071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you can reach out to your member of congress and schedule a meeting with them or </w:t>
      </w:r>
      <w:r w:rsidR="0071245A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one of their staff</w:t>
      </w:r>
      <w:r w:rsidR="009E071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E20D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2627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F501F16" w14:textId="43457CCC" w:rsidR="00EE252B" w:rsidRDefault="00616A8E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Whatever approach you choose to take, don’t sit on the sidelines. Achieving </w:t>
      </w:r>
      <w:r w:rsidR="00F5439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legislative goals </w:t>
      </w:r>
      <w:r w:rsidR="002D3849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2024 </w:t>
      </w:r>
      <w:r w:rsidR="00F5439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requires all </w:t>
      </w:r>
      <w:proofErr w:type="gramStart"/>
      <w:r w:rsidR="00F5439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hands on</w:t>
      </w:r>
      <w:proofErr w:type="gramEnd"/>
      <w:r w:rsidR="00F5439E"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deck!</w:t>
      </w:r>
    </w:p>
    <w:p w14:paraId="26A2A54B" w14:textId="77777777" w:rsidR="000A2A3C" w:rsidRDefault="000A2A3C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E64EB7" w14:textId="0B44B5C5" w:rsidR="000A2A3C" w:rsidRPr="00682FB2" w:rsidRDefault="000A2A3C" w:rsidP="00682FB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Merski is ICBA 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>group executive vice president, congressional relations and strategy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>.</w:t>
      </w:r>
    </w:p>
    <w:p w14:paraId="5CEC8956" w14:textId="5E1CC68A" w:rsidR="00331E50" w:rsidRPr="00682FB2" w:rsidRDefault="00682FB2" w:rsidP="00682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hAnsi="Times New Roman" w:cs="Times New Roman"/>
          <w:sz w:val="24"/>
          <w:szCs w:val="24"/>
        </w:rPr>
        <w:t>[ends]</w:t>
      </w:r>
    </w:p>
    <w:p w14:paraId="4F1196A7" w14:textId="77777777" w:rsidR="00BA7EB5" w:rsidRDefault="00682FB2" w:rsidP="00682FB2">
      <w:pPr>
        <w:spacing w:line="276" w:lineRule="auto"/>
        <w:rPr>
          <w:rFonts w:ascii="Times New Roman" w:hAnsi="Times New Roman" w:cs="Times New Roman"/>
          <w:color w:val="3C3A3A"/>
          <w:sz w:val="24"/>
          <w:szCs w:val="24"/>
          <w:shd w:val="clear" w:color="auto" w:fill="FFFFFF"/>
        </w:rPr>
      </w:pPr>
      <w:r w:rsidRPr="00682FB2">
        <w:rPr>
          <w:rFonts w:ascii="Times New Roman" w:hAnsi="Times New Roman" w:cs="Times New Roman"/>
          <w:sz w:val="24"/>
          <w:szCs w:val="24"/>
        </w:rPr>
        <w:t>[pull quotes]</w:t>
      </w:r>
    </w:p>
    <w:p w14:paraId="538D4A3F" w14:textId="7F900A0C" w:rsidR="00682FB2" w:rsidRPr="00682FB2" w:rsidRDefault="000A2A3C" w:rsidP="000A2A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constituents and community influencers, you are uniquely positioned to explain the real-world impact of these legislative issues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Pr="00682FB2">
        <w:rPr>
          <w:rFonts w:ascii="Times New Roman" w:eastAsia="Times New Roman" w:hAnsi="Times New Roman" w:cs="Times New Roman"/>
          <w:color w:val="222222"/>
          <w:sz w:val="24"/>
          <w:szCs w:val="24"/>
        </w:rPr>
        <w:t>your bank, your customers and your community.</w:t>
      </w:r>
    </w:p>
    <w:sectPr w:rsidR="00682FB2" w:rsidRPr="0068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60"/>
    <w:rsid w:val="00070BE7"/>
    <w:rsid w:val="000A2A3C"/>
    <w:rsid w:val="000C7897"/>
    <w:rsid w:val="000E34CA"/>
    <w:rsid w:val="000F75C7"/>
    <w:rsid w:val="00124BFD"/>
    <w:rsid w:val="00170D46"/>
    <w:rsid w:val="0018781D"/>
    <w:rsid w:val="001A1129"/>
    <w:rsid w:val="001B3CEC"/>
    <w:rsid w:val="001B5697"/>
    <w:rsid w:val="001F4535"/>
    <w:rsid w:val="0021707D"/>
    <w:rsid w:val="00237323"/>
    <w:rsid w:val="00253B24"/>
    <w:rsid w:val="002D3849"/>
    <w:rsid w:val="00331E50"/>
    <w:rsid w:val="00336AFF"/>
    <w:rsid w:val="0034746C"/>
    <w:rsid w:val="0042556A"/>
    <w:rsid w:val="00452D6E"/>
    <w:rsid w:val="00485195"/>
    <w:rsid w:val="004E20DE"/>
    <w:rsid w:val="004F6A60"/>
    <w:rsid w:val="005476C6"/>
    <w:rsid w:val="005B5748"/>
    <w:rsid w:val="00602627"/>
    <w:rsid w:val="00616A8E"/>
    <w:rsid w:val="0062779C"/>
    <w:rsid w:val="00663490"/>
    <w:rsid w:val="00682FB2"/>
    <w:rsid w:val="006F6131"/>
    <w:rsid w:val="0071245A"/>
    <w:rsid w:val="00715C8C"/>
    <w:rsid w:val="00741B5D"/>
    <w:rsid w:val="007A1B9F"/>
    <w:rsid w:val="00803D14"/>
    <w:rsid w:val="0082483E"/>
    <w:rsid w:val="00856F06"/>
    <w:rsid w:val="00875493"/>
    <w:rsid w:val="00880EDA"/>
    <w:rsid w:val="008E260C"/>
    <w:rsid w:val="009368B9"/>
    <w:rsid w:val="0097034F"/>
    <w:rsid w:val="009B49D4"/>
    <w:rsid w:val="009D0556"/>
    <w:rsid w:val="009E071E"/>
    <w:rsid w:val="00A36A4E"/>
    <w:rsid w:val="00A41522"/>
    <w:rsid w:val="00B02241"/>
    <w:rsid w:val="00B4075D"/>
    <w:rsid w:val="00B42562"/>
    <w:rsid w:val="00B949AA"/>
    <w:rsid w:val="00BA7EB5"/>
    <w:rsid w:val="00BE4F61"/>
    <w:rsid w:val="00C01CF0"/>
    <w:rsid w:val="00C072FE"/>
    <w:rsid w:val="00C36AE0"/>
    <w:rsid w:val="00C43A98"/>
    <w:rsid w:val="00CA2338"/>
    <w:rsid w:val="00CF058D"/>
    <w:rsid w:val="00D00F0C"/>
    <w:rsid w:val="00D14C1D"/>
    <w:rsid w:val="00D1642C"/>
    <w:rsid w:val="00D46803"/>
    <w:rsid w:val="00D96F47"/>
    <w:rsid w:val="00DA1B58"/>
    <w:rsid w:val="00DB3103"/>
    <w:rsid w:val="00DB7A70"/>
    <w:rsid w:val="00DE6300"/>
    <w:rsid w:val="00E168A6"/>
    <w:rsid w:val="00E34569"/>
    <w:rsid w:val="00E74FDA"/>
    <w:rsid w:val="00E82099"/>
    <w:rsid w:val="00EA405B"/>
    <w:rsid w:val="00EC3814"/>
    <w:rsid w:val="00ED3445"/>
    <w:rsid w:val="00EE252B"/>
    <w:rsid w:val="00F3510F"/>
    <w:rsid w:val="00F5439E"/>
    <w:rsid w:val="00F87993"/>
    <w:rsid w:val="00F93032"/>
    <w:rsid w:val="00FB6D46"/>
    <w:rsid w:val="00FC646C"/>
    <w:rsid w:val="00FE672C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65C9"/>
  <w15:chartTrackingRefBased/>
  <w15:docId w15:val="{2B952081-7748-4D1B-B76E-4213E781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A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9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Molly Bennett</cp:lastModifiedBy>
  <cp:revision>3</cp:revision>
  <dcterms:created xsi:type="dcterms:W3CDTF">2024-01-08T22:36:00Z</dcterms:created>
  <dcterms:modified xsi:type="dcterms:W3CDTF">2024-01-08T22:37:00Z</dcterms:modified>
</cp:coreProperties>
</file>