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94FB" w14:textId="039D9514" w:rsidR="00FC299E" w:rsidRPr="00EF1CAF" w:rsidRDefault="00FC299E" w:rsidP="00EF1CAF">
      <w:pPr>
        <w:spacing w:after="0"/>
        <w:rPr>
          <w:rFonts w:cstheme="minorHAnsi"/>
          <w:sz w:val="24"/>
          <w:szCs w:val="24"/>
        </w:rPr>
      </w:pPr>
      <w:r w:rsidRPr="00EF1CAF">
        <w:rPr>
          <w:rFonts w:cstheme="minorHAnsi"/>
          <w:sz w:val="24"/>
          <w:szCs w:val="24"/>
        </w:rPr>
        <w:t>Independent Banker</w:t>
      </w:r>
    </w:p>
    <w:p w14:paraId="1ED87C9E" w14:textId="76F32314" w:rsidR="00FC299E" w:rsidRPr="00EF1CAF" w:rsidRDefault="00FC299E" w:rsidP="00EF1CAF">
      <w:pPr>
        <w:spacing w:after="0"/>
        <w:rPr>
          <w:rFonts w:cstheme="minorHAnsi"/>
          <w:sz w:val="24"/>
          <w:szCs w:val="24"/>
        </w:rPr>
      </w:pPr>
      <w:r w:rsidRPr="00EF1CAF">
        <w:rPr>
          <w:rFonts w:cstheme="minorHAnsi"/>
          <w:sz w:val="24"/>
          <w:szCs w:val="24"/>
        </w:rPr>
        <w:t>April 2024</w:t>
      </w:r>
    </w:p>
    <w:p w14:paraId="3F6F65F4" w14:textId="3F9C5366" w:rsidR="00FC299E" w:rsidRPr="00EF1CAF" w:rsidRDefault="00FC299E" w:rsidP="00FC299E">
      <w:pPr>
        <w:rPr>
          <w:rFonts w:cstheme="minorHAnsi"/>
          <w:sz w:val="24"/>
          <w:szCs w:val="24"/>
        </w:rPr>
      </w:pPr>
      <w:r w:rsidRPr="00EF1CAF">
        <w:rPr>
          <w:rFonts w:cstheme="minorHAnsi"/>
          <w:sz w:val="24"/>
          <w:szCs w:val="24"/>
        </w:rPr>
        <w:t>Portfolio</w:t>
      </w:r>
    </w:p>
    <w:p w14:paraId="7F6C0992" w14:textId="1357970F" w:rsidR="00FC299E" w:rsidRPr="00EF1CAF" w:rsidRDefault="00FC299E" w:rsidP="00FC299E">
      <w:pPr>
        <w:rPr>
          <w:rFonts w:cstheme="minorHAnsi"/>
          <w:sz w:val="24"/>
          <w:szCs w:val="24"/>
        </w:rPr>
      </w:pPr>
      <w:r w:rsidRPr="00EF1CAF">
        <w:rPr>
          <w:rFonts w:cstheme="minorHAnsi"/>
          <w:sz w:val="24"/>
          <w:szCs w:val="24"/>
        </w:rPr>
        <w:t>[tag] Checks &amp; Balances</w:t>
      </w:r>
    </w:p>
    <w:p w14:paraId="2374D80C" w14:textId="12AAD25C" w:rsidR="00920460" w:rsidRDefault="00FC299E" w:rsidP="00FC299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[</w:t>
      </w:r>
      <w:proofErr w:type="spellStart"/>
      <w:r>
        <w:rPr>
          <w:rFonts w:cstheme="minorHAnsi"/>
          <w:b/>
          <w:bCs/>
          <w:sz w:val="24"/>
          <w:szCs w:val="24"/>
        </w:rPr>
        <w:t>hed</w:t>
      </w:r>
      <w:proofErr w:type="spellEnd"/>
      <w:r>
        <w:rPr>
          <w:rFonts w:cstheme="minorHAnsi"/>
          <w:b/>
          <w:bCs/>
          <w:sz w:val="24"/>
          <w:szCs w:val="24"/>
        </w:rPr>
        <w:t xml:space="preserve">] </w:t>
      </w:r>
      <w:proofErr w:type="gramStart"/>
      <w:r w:rsidR="00552FF4" w:rsidRPr="00552FF4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>n</w:t>
      </w:r>
      <w:proofErr w:type="gramEnd"/>
      <w:r>
        <w:rPr>
          <w:rFonts w:cstheme="minorHAnsi"/>
          <w:b/>
          <w:bCs/>
          <w:sz w:val="24"/>
          <w:szCs w:val="24"/>
        </w:rPr>
        <w:t xml:space="preserve"> o</w:t>
      </w:r>
      <w:r w:rsidR="00552FF4" w:rsidRPr="00552FF4">
        <w:rPr>
          <w:rFonts w:cstheme="minorHAnsi"/>
          <w:b/>
          <w:bCs/>
          <w:sz w:val="24"/>
          <w:szCs w:val="24"/>
        </w:rPr>
        <w:t>pportunity</w:t>
      </w:r>
      <w:r w:rsidR="00223B73">
        <w:rPr>
          <w:rFonts w:cstheme="minorHAnsi"/>
          <w:b/>
          <w:bCs/>
          <w:sz w:val="24"/>
          <w:szCs w:val="24"/>
        </w:rPr>
        <w:t xml:space="preserve"> for advocacy</w:t>
      </w:r>
      <w:r>
        <w:rPr>
          <w:rFonts w:cstheme="minorHAnsi"/>
          <w:b/>
          <w:bCs/>
          <w:sz w:val="24"/>
          <w:szCs w:val="24"/>
        </w:rPr>
        <w:t xml:space="preserve"> at</w:t>
      </w:r>
      <w:r w:rsidR="00552FF4" w:rsidRPr="00552FF4">
        <w:rPr>
          <w:rFonts w:cstheme="minorHAnsi"/>
          <w:b/>
          <w:bCs/>
          <w:sz w:val="24"/>
          <w:szCs w:val="24"/>
        </w:rPr>
        <w:t xml:space="preserve"> </w:t>
      </w:r>
      <w:r w:rsidR="00920460" w:rsidRPr="00552FF4">
        <w:rPr>
          <w:rFonts w:cstheme="minorHAnsi"/>
          <w:b/>
          <w:bCs/>
          <w:sz w:val="24"/>
          <w:szCs w:val="24"/>
        </w:rPr>
        <w:t>ICBA Capital Summit</w:t>
      </w:r>
    </w:p>
    <w:p w14:paraId="12EE0EDF" w14:textId="7BB87D12" w:rsidR="00FC299E" w:rsidRPr="00EF1CAF" w:rsidRDefault="00FC299E" w:rsidP="00FC299E">
      <w:pPr>
        <w:rPr>
          <w:rFonts w:cstheme="minorHAnsi"/>
          <w:sz w:val="24"/>
          <w:szCs w:val="24"/>
        </w:rPr>
      </w:pPr>
      <w:r w:rsidRPr="00EF1CAF">
        <w:rPr>
          <w:rFonts w:cstheme="minorHAnsi"/>
          <w:sz w:val="24"/>
          <w:szCs w:val="24"/>
        </w:rPr>
        <w:t>[</w:t>
      </w:r>
      <w:proofErr w:type="spellStart"/>
      <w:r w:rsidRPr="00EF1CAF">
        <w:rPr>
          <w:rFonts w:cstheme="minorHAnsi"/>
          <w:sz w:val="24"/>
          <w:szCs w:val="24"/>
        </w:rPr>
        <w:t>dek</w:t>
      </w:r>
      <w:proofErr w:type="spellEnd"/>
      <w:r w:rsidRPr="00EF1CAF">
        <w:rPr>
          <w:rFonts w:cstheme="minorHAnsi"/>
          <w:sz w:val="24"/>
          <w:szCs w:val="24"/>
        </w:rPr>
        <w:t xml:space="preserve">] </w:t>
      </w:r>
      <w:r w:rsidR="00AC0247">
        <w:rPr>
          <w:rFonts w:cstheme="minorHAnsi"/>
          <w:sz w:val="24"/>
          <w:szCs w:val="24"/>
        </w:rPr>
        <w:t>As the ICBA Capital Summit approaches, it’s more important now than ever that community bankers understand what impact their stories can have on legislation.</w:t>
      </w:r>
    </w:p>
    <w:p w14:paraId="2C4935F9" w14:textId="3A62E75D" w:rsidR="00552FF4" w:rsidRDefault="00FC299E" w:rsidP="00FC29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[byline] </w:t>
      </w:r>
      <w:r w:rsidR="00552FF4">
        <w:rPr>
          <w:rFonts w:cstheme="minorHAnsi"/>
          <w:sz w:val="24"/>
          <w:szCs w:val="24"/>
        </w:rPr>
        <w:t xml:space="preserve">By </w:t>
      </w:r>
      <w:r w:rsidR="00A66E4F">
        <w:rPr>
          <w:rFonts w:cstheme="minorHAnsi"/>
          <w:sz w:val="24"/>
          <w:szCs w:val="24"/>
        </w:rPr>
        <w:t>J</w:t>
      </w:r>
      <w:r w:rsidR="00B728FB">
        <w:rPr>
          <w:rFonts w:cstheme="minorHAnsi"/>
          <w:sz w:val="24"/>
          <w:szCs w:val="24"/>
        </w:rPr>
        <w:t>ohn</w:t>
      </w:r>
      <w:r w:rsidR="00A66E4F">
        <w:rPr>
          <w:rFonts w:cstheme="minorHAnsi"/>
          <w:sz w:val="24"/>
          <w:szCs w:val="24"/>
        </w:rPr>
        <w:t xml:space="preserve"> Coleman</w:t>
      </w:r>
    </w:p>
    <w:p w14:paraId="5675240C" w14:textId="5C118941" w:rsidR="00B45E5F" w:rsidRPr="00920460" w:rsidRDefault="00B45E5F" w:rsidP="00FC299E">
      <w:pPr>
        <w:rPr>
          <w:rFonts w:cstheme="minorHAnsi"/>
          <w:sz w:val="24"/>
          <w:szCs w:val="24"/>
        </w:rPr>
      </w:pPr>
      <w:r w:rsidRPr="00920460">
        <w:rPr>
          <w:rFonts w:cstheme="minorHAnsi"/>
          <w:sz w:val="24"/>
          <w:szCs w:val="24"/>
        </w:rPr>
        <w:t>You’ve got plans for spring break</w:t>
      </w:r>
      <w:r w:rsidR="00FC299E">
        <w:rPr>
          <w:rFonts w:cstheme="minorHAnsi"/>
          <w:sz w:val="24"/>
          <w:szCs w:val="24"/>
        </w:rPr>
        <w:t>,</w:t>
      </w:r>
      <w:r w:rsidRPr="00920460">
        <w:rPr>
          <w:rFonts w:cstheme="minorHAnsi"/>
          <w:sz w:val="24"/>
          <w:szCs w:val="24"/>
        </w:rPr>
        <w:t xml:space="preserve"> but have you made plans to attend community banking’s preeminent advocacy event? The ICBA Capital Summit returns to Washington, D.C., April 28 to May 1</w:t>
      </w:r>
      <w:r w:rsidR="00223B73">
        <w:rPr>
          <w:rFonts w:cstheme="minorHAnsi"/>
          <w:sz w:val="24"/>
          <w:szCs w:val="24"/>
        </w:rPr>
        <w:t>. Every year, it gives</w:t>
      </w:r>
      <w:r w:rsidRPr="00920460">
        <w:rPr>
          <w:rFonts w:cstheme="minorHAnsi"/>
          <w:sz w:val="24"/>
          <w:szCs w:val="24"/>
        </w:rPr>
        <w:t xml:space="preserve"> community bankers across the country </w:t>
      </w:r>
      <w:r w:rsidR="009476AD">
        <w:rPr>
          <w:rFonts w:cstheme="minorHAnsi"/>
          <w:sz w:val="24"/>
          <w:szCs w:val="24"/>
        </w:rPr>
        <w:t xml:space="preserve">the </w:t>
      </w:r>
      <w:r w:rsidR="00F327E5">
        <w:rPr>
          <w:rFonts w:cstheme="minorHAnsi"/>
          <w:sz w:val="24"/>
          <w:szCs w:val="24"/>
        </w:rPr>
        <w:t xml:space="preserve">opportunity </w:t>
      </w:r>
      <w:r w:rsidRPr="00920460">
        <w:rPr>
          <w:rFonts w:cstheme="minorHAnsi"/>
          <w:sz w:val="24"/>
          <w:szCs w:val="24"/>
        </w:rPr>
        <w:t>to</w:t>
      </w:r>
      <w:r w:rsidR="00C87410">
        <w:rPr>
          <w:rFonts w:cstheme="minorHAnsi"/>
          <w:sz w:val="24"/>
          <w:szCs w:val="24"/>
        </w:rPr>
        <w:t xml:space="preserve"> </w:t>
      </w:r>
      <w:proofErr w:type="gramStart"/>
      <w:r w:rsidR="00C87410">
        <w:rPr>
          <w:rFonts w:cstheme="minorHAnsi"/>
          <w:sz w:val="24"/>
          <w:szCs w:val="24"/>
        </w:rPr>
        <w:t>gather</w:t>
      </w:r>
      <w:r w:rsidR="00FC299E">
        <w:rPr>
          <w:rFonts w:cstheme="minorHAnsi"/>
          <w:sz w:val="24"/>
          <w:szCs w:val="24"/>
        </w:rPr>
        <w:t xml:space="preserve"> together</w:t>
      </w:r>
      <w:proofErr w:type="gramEnd"/>
      <w:r w:rsidR="00524277">
        <w:rPr>
          <w:rFonts w:cstheme="minorHAnsi"/>
          <w:sz w:val="24"/>
          <w:szCs w:val="24"/>
        </w:rPr>
        <w:t xml:space="preserve">, </w:t>
      </w:r>
      <w:r w:rsidRPr="00920460">
        <w:rPr>
          <w:rFonts w:cstheme="minorHAnsi"/>
          <w:sz w:val="24"/>
          <w:szCs w:val="24"/>
        </w:rPr>
        <w:t xml:space="preserve">tell </w:t>
      </w:r>
      <w:r w:rsidR="00C57390">
        <w:rPr>
          <w:rFonts w:cstheme="minorHAnsi"/>
          <w:sz w:val="24"/>
          <w:szCs w:val="24"/>
        </w:rPr>
        <w:t xml:space="preserve">their </w:t>
      </w:r>
      <w:r w:rsidRPr="00920460">
        <w:rPr>
          <w:rFonts w:cstheme="minorHAnsi"/>
          <w:sz w:val="24"/>
          <w:szCs w:val="24"/>
        </w:rPr>
        <w:t>stories to legislators</w:t>
      </w:r>
      <w:r w:rsidR="00524277">
        <w:rPr>
          <w:rFonts w:cstheme="minorHAnsi"/>
          <w:sz w:val="24"/>
          <w:szCs w:val="24"/>
        </w:rPr>
        <w:t xml:space="preserve"> and </w:t>
      </w:r>
      <w:r w:rsidR="00421227">
        <w:rPr>
          <w:rFonts w:cstheme="minorHAnsi"/>
          <w:sz w:val="24"/>
          <w:szCs w:val="24"/>
        </w:rPr>
        <w:t>share the important message that community banks are</w:t>
      </w:r>
      <w:r w:rsidR="004752CA">
        <w:rPr>
          <w:rFonts w:cstheme="minorHAnsi"/>
          <w:sz w:val="24"/>
          <w:szCs w:val="24"/>
        </w:rPr>
        <w:t xml:space="preserve"> not only</w:t>
      </w:r>
      <w:r w:rsidR="00421227">
        <w:rPr>
          <w:rFonts w:cstheme="minorHAnsi"/>
          <w:sz w:val="24"/>
          <w:szCs w:val="24"/>
        </w:rPr>
        <w:t xml:space="preserve"> a source of strength </w:t>
      </w:r>
      <w:r w:rsidR="00FD4A3D">
        <w:rPr>
          <w:rFonts w:cstheme="minorHAnsi"/>
          <w:sz w:val="24"/>
          <w:szCs w:val="24"/>
        </w:rPr>
        <w:t xml:space="preserve">in </w:t>
      </w:r>
      <w:r w:rsidR="00C57390">
        <w:rPr>
          <w:rFonts w:cstheme="minorHAnsi"/>
          <w:sz w:val="24"/>
          <w:szCs w:val="24"/>
        </w:rPr>
        <w:t>local</w:t>
      </w:r>
      <w:r w:rsidR="00FD4A3D">
        <w:rPr>
          <w:rFonts w:cstheme="minorHAnsi"/>
          <w:sz w:val="24"/>
          <w:szCs w:val="24"/>
        </w:rPr>
        <w:t xml:space="preserve"> communities </w:t>
      </w:r>
      <w:r w:rsidR="005C030E">
        <w:rPr>
          <w:rFonts w:cstheme="minorHAnsi"/>
          <w:sz w:val="24"/>
          <w:szCs w:val="24"/>
        </w:rPr>
        <w:t xml:space="preserve">but also </w:t>
      </w:r>
      <w:r w:rsidR="00FD4A3D">
        <w:rPr>
          <w:rFonts w:cstheme="minorHAnsi"/>
          <w:sz w:val="24"/>
          <w:szCs w:val="24"/>
        </w:rPr>
        <w:t xml:space="preserve">critical to the </w:t>
      </w:r>
      <w:r w:rsidR="00223B73">
        <w:rPr>
          <w:rFonts w:cstheme="minorHAnsi"/>
          <w:sz w:val="24"/>
          <w:szCs w:val="24"/>
        </w:rPr>
        <w:t xml:space="preserve">health of the </w:t>
      </w:r>
      <w:r w:rsidR="00FD4A3D">
        <w:rPr>
          <w:rFonts w:cstheme="minorHAnsi"/>
          <w:sz w:val="24"/>
          <w:szCs w:val="24"/>
        </w:rPr>
        <w:t>nation’s financial system.</w:t>
      </w:r>
    </w:p>
    <w:p w14:paraId="7C8876BC" w14:textId="42E8CC95" w:rsidR="00E86EE6" w:rsidRDefault="00FD4A3D" w:rsidP="00FC29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ICBA Capital Summit </w:t>
      </w:r>
      <w:r w:rsidR="00AF16F5">
        <w:rPr>
          <w:rFonts w:cstheme="minorHAnsi"/>
          <w:sz w:val="24"/>
          <w:szCs w:val="24"/>
        </w:rPr>
        <w:t xml:space="preserve">is </w:t>
      </w:r>
      <w:r w:rsidR="005C030E">
        <w:rPr>
          <w:rFonts w:cstheme="minorHAnsi"/>
          <w:sz w:val="24"/>
          <w:szCs w:val="24"/>
        </w:rPr>
        <w:t>your chance to m</w:t>
      </w:r>
      <w:r w:rsidR="00B45E5F" w:rsidRPr="00920460">
        <w:rPr>
          <w:rFonts w:cstheme="minorHAnsi"/>
          <w:sz w:val="24"/>
          <w:szCs w:val="24"/>
        </w:rPr>
        <w:t xml:space="preserve">eet with legislators and their key staff, hear from policymakers and pundits and connect with your peers </w:t>
      </w:r>
      <w:r w:rsidR="00DD01EE">
        <w:rPr>
          <w:rFonts w:cstheme="minorHAnsi"/>
          <w:sz w:val="24"/>
          <w:szCs w:val="24"/>
        </w:rPr>
        <w:t xml:space="preserve">in the </w:t>
      </w:r>
      <w:r w:rsidR="00F872A0">
        <w:rPr>
          <w:rFonts w:cstheme="minorHAnsi"/>
          <w:sz w:val="24"/>
          <w:szCs w:val="24"/>
        </w:rPr>
        <w:t>nation’s seat of government</w:t>
      </w:r>
      <w:r w:rsidR="00B45E5F" w:rsidRPr="00920460">
        <w:rPr>
          <w:rFonts w:cstheme="minorHAnsi"/>
          <w:sz w:val="24"/>
          <w:szCs w:val="24"/>
        </w:rPr>
        <w:t xml:space="preserve">. </w:t>
      </w:r>
      <w:r w:rsidR="00E331F2">
        <w:rPr>
          <w:rFonts w:cstheme="minorHAnsi"/>
          <w:sz w:val="24"/>
          <w:szCs w:val="24"/>
        </w:rPr>
        <w:t xml:space="preserve">With </w:t>
      </w:r>
      <w:r w:rsidR="00862EB0">
        <w:rPr>
          <w:rFonts w:cstheme="minorHAnsi"/>
          <w:sz w:val="24"/>
          <w:szCs w:val="24"/>
        </w:rPr>
        <w:t>the volume and pace of regulation changing rapidly, there is no better time to</w:t>
      </w:r>
      <w:r w:rsidR="00B45E5F" w:rsidRPr="00920460">
        <w:rPr>
          <w:rFonts w:cstheme="minorHAnsi"/>
          <w:sz w:val="24"/>
          <w:szCs w:val="24"/>
        </w:rPr>
        <w:t xml:space="preserve"> make the case </w:t>
      </w:r>
      <w:r w:rsidR="00223B73">
        <w:rPr>
          <w:rFonts w:cstheme="minorHAnsi"/>
          <w:sz w:val="24"/>
          <w:szCs w:val="24"/>
        </w:rPr>
        <w:t xml:space="preserve">for </w:t>
      </w:r>
      <w:r w:rsidR="00B45E5F" w:rsidRPr="00920460">
        <w:rPr>
          <w:rFonts w:cstheme="minorHAnsi"/>
          <w:sz w:val="24"/>
          <w:szCs w:val="24"/>
        </w:rPr>
        <w:t>why community banks are more than just financial institutions</w:t>
      </w:r>
      <w:r w:rsidR="00FC299E">
        <w:rPr>
          <w:rFonts w:cstheme="minorHAnsi"/>
          <w:sz w:val="24"/>
          <w:szCs w:val="24"/>
        </w:rPr>
        <w:t>.</w:t>
      </w:r>
      <w:r w:rsidR="00B45E5F" w:rsidRPr="00920460">
        <w:rPr>
          <w:rFonts w:cstheme="minorHAnsi"/>
          <w:sz w:val="24"/>
          <w:szCs w:val="24"/>
        </w:rPr>
        <w:t xml:space="preserve"> </w:t>
      </w:r>
      <w:r w:rsidR="00FC299E">
        <w:rPr>
          <w:rFonts w:cstheme="minorHAnsi"/>
          <w:sz w:val="24"/>
          <w:szCs w:val="24"/>
        </w:rPr>
        <w:t>C</w:t>
      </w:r>
      <w:r w:rsidR="00332E38">
        <w:rPr>
          <w:rFonts w:cstheme="minorHAnsi"/>
          <w:sz w:val="24"/>
          <w:szCs w:val="24"/>
        </w:rPr>
        <w:t xml:space="preserve">ommunity banks like yours </w:t>
      </w:r>
      <w:r w:rsidR="00B45E5F" w:rsidRPr="00920460">
        <w:rPr>
          <w:rFonts w:cstheme="minorHAnsi"/>
          <w:sz w:val="24"/>
          <w:szCs w:val="24"/>
        </w:rPr>
        <w:t xml:space="preserve">are </w:t>
      </w:r>
      <w:r w:rsidR="00060375" w:rsidRPr="00920460">
        <w:rPr>
          <w:rFonts w:cstheme="minorHAnsi"/>
          <w:sz w:val="24"/>
          <w:szCs w:val="24"/>
        </w:rPr>
        <w:t>the heart of Main Street America and a source of growth and financial prosperity.</w:t>
      </w:r>
      <w:r w:rsidR="008A1148">
        <w:rPr>
          <w:rFonts w:cstheme="minorHAnsi"/>
          <w:sz w:val="24"/>
          <w:szCs w:val="24"/>
        </w:rPr>
        <w:t xml:space="preserve">  </w:t>
      </w:r>
    </w:p>
    <w:p w14:paraId="20B7E2E0" w14:textId="178D4A74" w:rsidR="00B45E5F" w:rsidRDefault="008A1148" w:rsidP="00FC29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grassroots engagement with the officials </w:t>
      </w:r>
      <w:r w:rsidR="00791FA2">
        <w:rPr>
          <w:rFonts w:cstheme="minorHAnsi"/>
          <w:sz w:val="24"/>
          <w:szCs w:val="24"/>
        </w:rPr>
        <w:t>who have the power to shape the future of the community banking industry is</w:t>
      </w:r>
      <w:r w:rsidR="00483A0A">
        <w:rPr>
          <w:rFonts w:cstheme="minorHAnsi"/>
          <w:sz w:val="24"/>
          <w:szCs w:val="24"/>
        </w:rPr>
        <w:t xml:space="preserve"> </w:t>
      </w:r>
      <w:r w:rsidR="005D172E">
        <w:rPr>
          <w:rFonts w:cstheme="minorHAnsi"/>
          <w:sz w:val="24"/>
          <w:szCs w:val="24"/>
        </w:rPr>
        <w:t xml:space="preserve">a critical component of </w:t>
      </w:r>
      <w:r w:rsidR="00F53F0F">
        <w:rPr>
          <w:rFonts w:cstheme="minorHAnsi"/>
          <w:sz w:val="24"/>
          <w:szCs w:val="24"/>
        </w:rPr>
        <w:t>ICBA’s advocacy</w:t>
      </w:r>
      <w:r w:rsidR="00E86EE6">
        <w:rPr>
          <w:rFonts w:cstheme="minorHAnsi"/>
          <w:sz w:val="24"/>
          <w:szCs w:val="24"/>
        </w:rPr>
        <w:t>.</w:t>
      </w:r>
      <w:r w:rsidR="00F53F0F">
        <w:rPr>
          <w:rFonts w:cstheme="minorHAnsi"/>
          <w:sz w:val="24"/>
          <w:szCs w:val="24"/>
        </w:rPr>
        <w:t xml:space="preserve"> </w:t>
      </w:r>
      <w:r w:rsidR="00E86EE6">
        <w:rPr>
          <w:rFonts w:cstheme="minorHAnsi"/>
          <w:sz w:val="24"/>
          <w:szCs w:val="24"/>
        </w:rPr>
        <w:t>B</w:t>
      </w:r>
      <w:r w:rsidR="00BC61B1">
        <w:rPr>
          <w:rFonts w:cstheme="minorHAnsi"/>
          <w:sz w:val="24"/>
          <w:szCs w:val="24"/>
        </w:rPr>
        <w:t>y standing up with your fellow community bankers</w:t>
      </w:r>
      <w:r w:rsidR="002F2686">
        <w:rPr>
          <w:rFonts w:cstheme="minorHAnsi"/>
          <w:sz w:val="24"/>
          <w:szCs w:val="24"/>
        </w:rPr>
        <w:t xml:space="preserve"> at the ICBA Capital Summit</w:t>
      </w:r>
      <w:r w:rsidR="00E86EE6">
        <w:rPr>
          <w:rFonts w:cstheme="minorHAnsi"/>
          <w:sz w:val="24"/>
          <w:szCs w:val="24"/>
        </w:rPr>
        <w:t>,</w:t>
      </w:r>
      <w:r w:rsidR="002F2686">
        <w:rPr>
          <w:rFonts w:cstheme="minorHAnsi"/>
          <w:sz w:val="24"/>
          <w:szCs w:val="24"/>
        </w:rPr>
        <w:t xml:space="preserve"> </w:t>
      </w:r>
      <w:r w:rsidR="00BC61B1">
        <w:rPr>
          <w:rFonts w:cstheme="minorHAnsi"/>
          <w:sz w:val="24"/>
          <w:szCs w:val="24"/>
        </w:rPr>
        <w:t xml:space="preserve">you can ensure </w:t>
      </w:r>
      <w:r w:rsidR="00F90DEB">
        <w:rPr>
          <w:rFonts w:cstheme="minorHAnsi"/>
          <w:sz w:val="24"/>
          <w:szCs w:val="24"/>
        </w:rPr>
        <w:t xml:space="preserve">your voice and the industry’s </w:t>
      </w:r>
      <w:r w:rsidR="00332E38">
        <w:rPr>
          <w:rFonts w:cstheme="minorHAnsi"/>
          <w:sz w:val="24"/>
          <w:szCs w:val="24"/>
        </w:rPr>
        <w:t xml:space="preserve">collective </w:t>
      </w:r>
      <w:r w:rsidR="00F90DEB">
        <w:rPr>
          <w:rFonts w:cstheme="minorHAnsi"/>
          <w:sz w:val="24"/>
          <w:szCs w:val="24"/>
        </w:rPr>
        <w:t xml:space="preserve">voice </w:t>
      </w:r>
      <w:r w:rsidR="00E86EE6">
        <w:rPr>
          <w:rFonts w:cstheme="minorHAnsi"/>
          <w:sz w:val="24"/>
          <w:szCs w:val="24"/>
        </w:rPr>
        <w:t>are</w:t>
      </w:r>
      <w:r w:rsidR="00F90DEB">
        <w:rPr>
          <w:rFonts w:cstheme="minorHAnsi"/>
          <w:sz w:val="24"/>
          <w:szCs w:val="24"/>
        </w:rPr>
        <w:t xml:space="preserve"> heard.</w:t>
      </w:r>
      <w:r w:rsidR="00B45E5F" w:rsidRPr="00920460">
        <w:rPr>
          <w:rFonts w:cstheme="minorHAnsi"/>
          <w:sz w:val="24"/>
          <w:szCs w:val="24"/>
        </w:rPr>
        <w:t xml:space="preserve"> </w:t>
      </w:r>
    </w:p>
    <w:p w14:paraId="1C06D5C1" w14:textId="77777777" w:rsidR="00223B73" w:rsidRPr="00920460" w:rsidRDefault="00223B73" w:rsidP="00FC299E">
      <w:pPr>
        <w:rPr>
          <w:rFonts w:cstheme="minorHAnsi"/>
          <w:sz w:val="24"/>
          <w:szCs w:val="24"/>
        </w:rPr>
      </w:pPr>
    </w:p>
    <w:p w14:paraId="561DD948" w14:textId="77FD3EF3" w:rsidR="00060375" w:rsidRPr="00920460" w:rsidRDefault="00FC299E" w:rsidP="00EF1CAF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[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subhed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] </w:t>
      </w:r>
      <w:r w:rsidR="00060375" w:rsidRPr="00920460">
        <w:rPr>
          <w:rFonts w:eastAsia="Times New Roman" w:cstheme="minorHAnsi"/>
          <w:b/>
          <w:bCs/>
          <w:sz w:val="24"/>
          <w:szCs w:val="24"/>
        </w:rPr>
        <w:t xml:space="preserve">Making the </w:t>
      </w:r>
      <w:r>
        <w:rPr>
          <w:rFonts w:eastAsia="Times New Roman" w:cstheme="minorHAnsi"/>
          <w:b/>
          <w:bCs/>
          <w:sz w:val="24"/>
          <w:szCs w:val="24"/>
        </w:rPr>
        <w:t>a</w:t>
      </w:r>
      <w:r w:rsidR="00060375" w:rsidRPr="00920460">
        <w:rPr>
          <w:rFonts w:eastAsia="Times New Roman" w:cstheme="minorHAnsi"/>
          <w:b/>
          <w:bCs/>
          <w:sz w:val="24"/>
          <w:szCs w:val="24"/>
        </w:rPr>
        <w:t xml:space="preserve">sk on </w:t>
      </w:r>
      <w:r w:rsidR="00920460" w:rsidRPr="00920460">
        <w:rPr>
          <w:rFonts w:eastAsia="Times New Roman" w:cstheme="minorHAnsi"/>
          <w:b/>
          <w:bCs/>
          <w:sz w:val="24"/>
          <w:szCs w:val="24"/>
        </w:rPr>
        <w:t>Capitol</w:t>
      </w:r>
      <w:r w:rsidR="00060375" w:rsidRPr="00920460">
        <w:rPr>
          <w:rFonts w:eastAsia="Times New Roman" w:cstheme="minorHAnsi"/>
          <w:b/>
          <w:bCs/>
          <w:sz w:val="24"/>
          <w:szCs w:val="24"/>
        </w:rPr>
        <w:t xml:space="preserve"> Hill</w:t>
      </w:r>
    </w:p>
    <w:p w14:paraId="75EF3470" w14:textId="19CB38D1" w:rsidR="00060375" w:rsidRPr="00920460" w:rsidRDefault="00060375" w:rsidP="00EF1CAF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920460">
        <w:rPr>
          <w:rFonts w:eastAsia="Times New Roman" w:cstheme="minorHAnsi"/>
          <w:sz w:val="24"/>
          <w:szCs w:val="24"/>
        </w:rPr>
        <w:t xml:space="preserve">The highlight of </w:t>
      </w:r>
      <w:r w:rsidR="00223B73">
        <w:rPr>
          <w:rFonts w:eastAsia="Times New Roman" w:cstheme="minorHAnsi"/>
          <w:sz w:val="24"/>
          <w:szCs w:val="24"/>
        </w:rPr>
        <w:t>event</w:t>
      </w:r>
      <w:r w:rsidRPr="00920460">
        <w:rPr>
          <w:rFonts w:eastAsia="Times New Roman" w:cstheme="minorHAnsi"/>
          <w:sz w:val="24"/>
          <w:szCs w:val="24"/>
        </w:rPr>
        <w:t xml:space="preserve"> are Hill visits where community bankers meet with senators, congress</w:t>
      </w:r>
      <w:r w:rsidR="00ED61BD">
        <w:rPr>
          <w:rFonts w:eastAsia="Times New Roman" w:cstheme="minorHAnsi"/>
          <w:sz w:val="24"/>
          <w:szCs w:val="24"/>
        </w:rPr>
        <w:t>ional representatives</w:t>
      </w:r>
      <w:r w:rsidRPr="00920460">
        <w:rPr>
          <w:rFonts w:eastAsia="Times New Roman" w:cstheme="minorHAnsi"/>
          <w:sz w:val="24"/>
          <w:szCs w:val="24"/>
        </w:rPr>
        <w:t xml:space="preserve"> and their staff members. </w:t>
      </w:r>
      <w:r w:rsidR="00A27E33" w:rsidRPr="00A27E33">
        <w:rPr>
          <w:rFonts w:eastAsia="Times New Roman" w:cstheme="minorHAnsi"/>
          <w:sz w:val="24"/>
          <w:szCs w:val="24"/>
        </w:rPr>
        <w:t>ICBA</w:t>
      </w:r>
      <w:r w:rsidRPr="00920460">
        <w:rPr>
          <w:rFonts w:eastAsia="Times New Roman" w:cstheme="minorHAnsi"/>
          <w:sz w:val="24"/>
          <w:szCs w:val="24"/>
        </w:rPr>
        <w:t xml:space="preserve"> works with its </w:t>
      </w:r>
      <w:r w:rsidR="00A27E33" w:rsidRPr="00A27E33">
        <w:rPr>
          <w:rFonts w:eastAsia="Times New Roman" w:cstheme="minorHAnsi"/>
          <w:sz w:val="24"/>
          <w:szCs w:val="24"/>
        </w:rPr>
        <w:t>affiliated state associations</w:t>
      </w:r>
      <w:r w:rsidRPr="00920460">
        <w:rPr>
          <w:rFonts w:eastAsia="Times New Roman" w:cstheme="minorHAnsi"/>
          <w:sz w:val="24"/>
          <w:szCs w:val="24"/>
        </w:rPr>
        <w:t xml:space="preserve"> to </w:t>
      </w:r>
      <w:r w:rsidR="00B90559">
        <w:rPr>
          <w:rFonts w:eastAsia="Times New Roman" w:cstheme="minorHAnsi"/>
          <w:sz w:val="24"/>
          <w:szCs w:val="24"/>
        </w:rPr>
        <w:t xml:space="preserve">coordinate </w:t>
      </w:r>
      <w:r w:rsidRPr="00920460">
        <w:rPr>
          <w:rFonts w:eastAsia="Times New Roman" w:cstheme="minorHAnsi"/>
          <w:sz w:val="24"/>
          <w:szCs w:val="24"/>
        </w:rPr>
        <w:t xml:space="preserve">these meetings and provide community </w:t>
      </w:r>
      <w:r w:rsidR="00920460" w:rsidRPr="00920460">
        <w:rPr>
          <w:rFonts w:eastAsia="Times New Roman" w:cstheme="minorHAnsi"/>
          <w:sz w:val="24"/>
          <w:szCs w:val="24"/>
        </w:rPr>
        <w:t>bankers with</w:t>
      </w:r>
      <w:r w:rsidRPr="00920460">
        <w:rPr>
          <w:rFonts w:eastAsia="Times New Roman" w:cstheme="minorHAnsi"/>
          <w:sz w:val="24"/>
          <w:szCs w:val="24"/>
        </w:rPr>
        <w:t xml:space="preserve"> the tools to make the most of this advocacy opportunity. </w:t>
      </w:r>
    </w:p>
    <w:p w14:paraId="03B01425" w14:textId="49DDD373" w:rsidR="00060375" w:rsidRPr="00920460" w:rsidRDefault="00414041" w:rsidP="00EF1CAF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920460">
        <w:rPr>
          <w:rFonts w:eastAsia="Times New Roman" w:cstheme="minorHAnsi"/>
          <w:sz w:val="24"/>
          <w:szCs w:val="24"/>
        </w:rPr>
        <w:t>Whether it’s your first introduction or reinforcing an existing relationship</w:t>
      </w:r>
      <w:r w:rsidR="00ED61BD">
        <w:rPr>
          <w:rFonts w:eastAsia="Times New Roman" w:cstheme="minorHAnsi"/>
          <w:sz w:val="24"/>
          <w:szCs w:val="24"/>
        </w:rPr>
        <w:t xml:space="preserve"> with</w:t>
      </w:r>
      <w:r w:rsidR="009379CB">
        <w:rPr>
          <w:rFonts w:eastAsia="Times New Roman" w:cstheme="minorHAnsi"/>
          <w:sz w:val="24"/>
          <w:szCs w:val="24"/>
        </w:rPr>
        <w:t xml:space="preserve"> elected officials</w:t>
      </w:r>
      <w:r w:rsidRPr="00920460">
        <w:rPr>
          <w:rFonts w:eastAsia="Times New Roman" w:cstheme="minorHAnsi"/>
          <w:sz w:val="24"/>
          <w:szCs w:val="24"/>
        </w:rPr>
        <w:t xml:space="preserve">, </w:t>
      </w:r>
      <w:r w:rsidR="00060375" w:rsidRPr="00920460">
        <w:rPr>
          <w:rFonts w:eastAsia="Times New Roman" w:cstheme="minorHAnsi"/>
          <w:sz w:val="24"/>
          <w:szCs w:val="24"/>
        </w:rPr>
        <w:t>visit</w:t>
      </w:r>
      <w:r w:rsidR="00FC299E">
        <w:rPr>
          <w:rFonts w:eastAsia="Times New Roman" w:cstheme="minorHAnsi"/>
          <w:sz w:val="24"/>
          <w:szCs w:val="24"/>
        </w:rPr>
        <w:t>ing</w:t>
      </w:r>
      <w:r w:rsidR="00060375" w:rsidRPr="00920460">
        <w:rPr>
          <w:rFonts w:eastAsia="Times New Roman" w:cstheme="minorHAnsi"/>
          <w:sz w:val="24"/>
          <w:szCs w:val="24"/>
        </w:rPr>
        <w:t xml:space="preserve"> </w:t>
      </w:r>
      <w:r w:rsidR="00D937E3">
        <w:rPr>
          <w:rFonts w:eastAsia="Times New Roman" w:cstheme="minorHAnsi"/>
          <w:sz w:val="24"/>
          <w:szCs w:val="24"/>
        </w:rPr>
        <w:t xml:space="preserve">Capitol </w:t>
      </w:r>
      <w:r w:rsidR="009379CB">
        <w:rPr>
          <w:rFonts w:eastAsia="Times New Roman" w:cstheme="minorHAnsi"/>
          <w:sz w:val="24"/>
          <w:szCs w:val="24"/>
        </w:rPr>
        <w:t xml:space="preserve">Hill </w:t>
      </w:r>
      <w:r w:rsidR="00FC299E">
        <w:rPr>
          <w:rFonts w:eastAsia="Times New Roman" w:cstheme="minorHAnsi"/>
          <w:sz w:val="24"/>
          <w:szCs w:val="24"/>
        </w:rPr>
        <w:t>is how you</w:t>
      </w:r>
      <w:r w:rsidRPr="00920460">
        <w:rPr>
          <w:rFonts w:eastAsia="Times New Roman" w:cstheme="minorHAnsi"/>
          <w:sz w:val="24"/>
          <w:szCs w:val="24"/>
        </w:rPr>
        <w:t xml:space="preserve"> </w:t>
      </w:r>
      <w:r w:rsidR="009379CB">
        <w:rPr>
          <w:rFonts w:eastAsia="Times New Roman" w:cstheme="minorHAnsi"/>
          <w:sz w:val="24"/>
          <w:szCs w:val="24"/>
        </w:rPr>
        <w:t>demonstrat</w:t>
      </w:r>
      <w:r w:rsidR="00FC299E">
        <w:rPr>
          <w:rFonts w:eastAsia="Times New Roman" w:cstheme="minorHAnsi"/>
          <w:sz w:val="24"/>
          <w:szCs w:val="24"/>
        </w:rPr>
        <w:t>e</w:t>
      </w:r>
      <w:r w:rsidR="009379CB">
        <w:rPr>
          <w:rFonts w:eastAsia="Times New Roman" w:cstheme="minorHAnsi"/>
          <w:sz w:val="24"/>
          <w:szCs w:val="24"/>
        </w:rPr>
        <w:t xml:space="preserve"> the </w:t>
      </w:r>
      <w:r w:rsidRPr="00920460">
        <w:rPr>
          <w:rFonts w:eastAsia="Times New Roman" w:cstheme="minorHAnsi"/>
          <w:sz w:val="24"/>
          <w:szCs w:val="24"/>
        </w:rPr>
        <w:t xml:space="preserve">importance of </w:t>
      </w:r>
      <w:r w:rsidR="009379CB">
        <w:rPr>
          <w:rFonts w:eastAsia="Times New Roman" w:cstheme="minorHAnsi"/>
          <w:sz w:val="24"/>
          <w:szCs w:val="24"/>
        </w:rPr>
        <w:t xml:space="preserve">the community bank </w:t>
      </w:r>
      <w:r w:rsidRPr="00920460">
        <w:rPr>
          <w:rFonts w:eastAsia="Times New Roman" w:cstheme="minorHAnsi"/>
          <w:sz w:val="24"/>
          <w:szCs w:val="24"/>
        </w:rPr>
        <w:t>mission and mak</w:t>
      </w:r>
      <w:r w:rsidR="00FC299E">
        <w:rPr>
          <w:rFonts w:eastAsia="Times New Roman" w:cstheme="minorHAnsi"/>
          <w:sz w:val="24"/>
          <w:szCs w:val="24"/>
        </w:rPr>
        <w:t>e</w:t>
      </w:r>
      <w:r w:rsidRPr="00920460">
        <w:rPr>
          <w:rFonts w:eastAsia="Times New Roman" w:cstheme="minorHAnsi"/>
          <w:sz w:val="24"/>
          <w:szCs w:val="24"/>
        </w:rPr>
        <w:t xml:space="preserve"> it clear that you and your fellow community bankers are prepared to show up in a big way</w:t>
      </w:r>
      <w:r w:rsidR="00FC299E">
        <w:rPr>
          <w:rFonts w:eastAsia="Times New Roman" w:cstheme="minorHAnsi"/>
          <w:sz w:val="24"/>
          <w:szCs w:val="24"/>
        </w:rPr>
        <w:t xml:space="preserve">, </w:t>
      </w:r>
      <w:r w:rsidR="009879B9">
        <w:rPr>
          <w:rFonts w:eastAsia="Times New Roman" w:cstheme="minorHAnsi"/>
          <w:sz w:val="24"/>
          <w:szCs w:val="24"/>
        </w:rPr>
        <w:t>just as you do every day for your customers.</w:t>
      </w:r>
    </w:p>
    <w:p w14:paraId="66F85FAA" w14:textId="34232C8D" w:rsidR="00414041" w:rsidRPr="00920460" w:rsidRDefault="00414041" w:rsidP="00EF1CAF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920460">
        <w:rPr>
          <w:rFonts w:eastAsia="Times New Roman" w:cstheme="minorHAnsi"/>
          <w:sz w:val="24"/>
          <w:szCs w:val="24"/>
        </w:rPr>
        <w:t>Advocacy isn’t just talking policy</w:t>
      </w:r>
      <w:r w:rsidR="00FC299E">
        <w:rPr>
          <w:rFonts w:eastAsia="Times New Roman" w:cstheme="minorHAnsi"/>
          <w:sz w:val="24"/>
          <w:szCs w:val="24"/>
        </w:rPr>
        <w:t>;</w:t>
      </w:r>
      <w:r w:rsidRPr="00920460">
        <w:rPr>
          <w:rFonts w:eastAsia="Times New Roman" w:cstheme="minorHAnsi"/>
          <w:sz w:val="24"/>
          <w:szCs w:val="24"/>
        </w:rPr>
        <w:t xml:space="preserve"> </w:t>
      </w:r>
      <w:r w:rsidR="00FC299E">
        <w:rPr>
          <w:rFonts w:eastAsia="Times New Roman" w:cstheme="minorHAnsi"/>
          <w:sz w:val="24"/>
          <w:szCs w:val="24"/>
        </w:rPr>
        <w:t>i</w:t>
      </w:r>
      <w:r w:rsidRPr="00920460">
        <w:rPr>
          <w:rFonts w:eastAsia="Times New Roman" w:cstheme="minorHAnsi"/>
          <w:sz w:val="24"/>
          <w:szCs w:val="24"/>
        </w:rPr>
        <w:t xml:space="preserve">t’s storytelling. It’s demonstrating the real-world impact of potential legislation with stories, statistics and anecdotes </w:t>
      </w:r>
      <w:r w:rsidR="00223B73">
        <w:rPr>
          <w:rFonts w:eastAsia="Times New Roman" w:cstheme="minorHAnsi"/>
          <w:sz w:val="24"/>
          <w:szCs w:val="24"/>
        </w:rPr>
        <w:t>about</w:t>
      </w:r>
      <w:r w:rsidR="00FE4295">
        <w:rPr>
          <w:rFonts w:eastAsia="Times New Roman" w:cstheme="minorHAnsi"/>
          <w:sz w:val="24"/>
          <w:szCs w:val="24"/>
        </w:rPr>
        <w:t xml:space="preserve"> community banks and the</w:t>
      </w:r>
      <w:r w:rsidR="009879B9">
        <w:rPr>
          <w:rFonts w:eastAsia="Times New Roman" w:cstheme="minorHAnsi"/>
          <w:sz w:val="24"/>
          <w:szCs w:val="24"/>
        </w:rPr>
        <w:t xml:space="preserve"> daily </w:t>
      </w:r>
      <w:r w:rsidR="009879B9">
        <w:rPr>
          <w:rFonts w:eastAsia="Times New Roman" w:cstheme="minorHAnsi"/>
          <w:sz w:val="24"/>
          <w:szCs w:val="24"/>
        </w:rPr>
        <w:lastRenderedPageBreak/>
        <w:t xml:space="preserve">lives of their </w:t>
      </w:r>
      <w:r w:rsidR="00FE4295">
        <w:rPr>
          <w:rFonts w:eastAsia="Times New Roman" w:cstheme="minorHAnsi"/>
          <w:sz w:val="24"/>
          <w:szCs w:val="24"/>
        </w:rPr>
        <w:t>customers</w:t>
      </w:r>
      <w:r w:rsidRPr="00920460">
        <w:rPr>
          <w:rFonts w:eastAsia="Times New Roman" w:cstheme="minorHAnsi"/>
          <w:sz w:val="24"/>
          <w:szCs w:val="24"/>
        </w:rPr>
        <w:t xml:space="preserve">. </w:t>
      </w:r>
      <w:r w:rsidR="003B7D5D">
        <w:rPr>
          <w:rFonts w:eastAsia="Times New Roman" w:cstheme="minorHAnsi"/>
          <w:sz w:val="24"/>
          <w:szCs w:val="24"/>
        </w:rPr>
        <w:t xml:space="preserve">These </w:t>
      </w:r>
      <w:r w:rsidR="00FC299E">
        <w:rPr>
          <w:rFonts w:eastAsia="Times New Roman" w:cstheme="minorHAnsi"/>
          <w:sz w:val="24"/>
          <w:szCs w:val="24"/>
        </w:rPr>
        <w:t xml:space="preserve">Capitol </w:t>
      </w:r>
      <w:r w:rsidR="009879B9">
        <w:rPr>
          <w:rFonts w:eastAsia="Times New Roman" w:cstheme="minorHAnsi"/>
          <w:sz w:val="24"/>
          <w:szCs w:val="24"/>
        </w:rPr>
        <w:t>H</w:t>
      </w:r>
      <w:r w:rsidR="003B7D5D">
        <w:rPr>
          <w:rFonts w:eastAsia="Times New Roman" w:cstheme="minorHAnsi"/>
          <w:sz w:val="24"/>
          <w:szCs w:val="24"/>
        </w:rPr>
        <w:t xml:space="preserve">ill visits </w:t>
      </w:r>
      <w:r w:rsidR="006C2CE1">
        <w:rPr>
          <w:rFonts w:eastAsia="Times New Roman" w:cstheme="minorHAnsi"/>
          <w:sz w:val="24"/>
          <w:szCs w:val="24"/>
        </w:rPr>
        <w:t xml:space="preserve">provide you the platform to </w:t>
      </w:r>
      <w:r w:rsidR="00204CE2">
        <w:rPr>
          <w:rFonts w:eastAsia="Times New Roman" w:cstheme="minorHAnsi"/>
          <w:sz w:val="24"/>
          <w:szCs w:val="24"/>
        </w:rPr>
        <w:t xml:space="preserve">illustrate </w:t>
      </w:r>
      <w:r w:rsidRPr="00920460">
        <w:rPr>
          <w:rFonts w:eastAsia="Times New Roman" w:cstheme="minorHAnsi"/>
          <w:sz w:val="24"/>
          <w:szCs w:val="24"/>
        </w:rPr>
        <w:t xml:space="preserve">how proposed bills that limit consumer choice, increase consumer costs or create onerous hurdles for borrowers affect the people and communities you serve. </w:t>
      </w:r>
    </w:p>
    <w:p w14:paraId="0FA233B9" w14:textId="77777777" w:rsidR="00223B73" w:rsidRDefault="00223B73" w:rsidP="00FC299E">
      <w:pPr>
        <w:rPr>
          <w:rFonts w:cstheme="minorHAnsi"/>
          <w:sz w:val="24"/>
          <w:szCs w:val="24"/>
        </w:rPr>
      </w:pPr>
    </w:p>
    <w:p w14:paraId="0FFACA32" w14:textId="613C09C1" w:rsidR="00223B73" w:rsidRDefault="00223B73" w:rsidP="00FC29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[Subhead] </w:t>
      </w:r>
      <w:r w:rsidRPr="00EF1CAF">
        <w:rPr>
          <w:rFonts w:cstheme="minorHAnsi"/>
          <w:b/>
          <w:bCs/>
          <w:sz w:val="24"/>
          <w:szCs w:val="24"/>
        </w:rPr>
        <w:t>Preparation is everything</w:t>
      </w:r>
    </w:p>
    <w:p w14:paraId="17F8AEF3" w14:textId="229AB6D3" w:rsidR="00223B73" w:rsidRDefault="00920460" w:rsidP="00FC299E">
      <w:pPr>
        <w:rPr>
          <w:rFonts w:cstheme="minorHAnsi"/>
          <w:sz w:val="24"/>
          <w:szCs w:val="24"/>
        </w:rPr>
      </w:pPr>
      <w:r w:rsidRPr="00703412">
        <w:rPr>
          <w:rFonts w:cstheme="minorHAnsi"/>
          <w:sz w:val="24"/>
          <w:szCs w:val="24"/>
        </w:rPr>
        <w:t>T</w:t>
      </w:r>
      <w:r w:rsidR="00FE4295">
        <w:rPr>
          <w:rFonts w:cstheme="minorHAnsi"/>
          <w:sz w:val="24"/>
          <w:szCs w:val="24"/>
        </w:rPr>
        <w:t>he ICBA Capital Summit is designed to prepare community bankers for these visits</w:t>
      </w:r>
      <w:r w:rsidR="00FC299E">
        <w:rPr>
          <w:rFonts w:cstheme="minorHAnsi"/>
          <w:sz w:val="24"/>
          <w:szCs w:val="24"/>
        </w:rPr>
        <w:t>. T</w:t>
      </w:r>
      <w:r w:rsidRPr="00703412">
        <w:rPr>
          <w:rFonts w:cstheme="minorHAnsi"/>
          <w:sz w:val="24"/>
          <w:szCs w:val="24"/>
        </w:rPr>
        <w:t xml:space="preserve">hrough workshops, panel discussions and expert-led sessions, attendees gain valuable insights into legislative proposals, regulatory developments and industry trends. </w:t>
      </w:r>
      <w:r w:rsidR="00D937E3">
        <w:rPr>
          <w:rFonts w:cstheme="minorHAnsi"/>
          <w:sz w:val="24"/>
          <w:szCs w:val="24"/>
        </w:rPr>
        <w:t>There is</w:t>
      </w:r>
      <w:r w:rsidR="00FC299E">
        <w:rPr>
          <w:rFonts w:cstheme="minorHAnsi"/>
          <w:sz w:val="24"/>
          <w:szCs w:val="24"/>
        </w:rPr>
        <w:t xml:space="preserve"> even</w:t>
      </w:r>
      <w:r w:rsidR="00D937E3">
        <w:rPr>
          <w:rFonts w:cstheme="minorHAnsi"/>
          <w:sz w:val="24"/>
          <w:szCs w:val="24"/>
        </w:rPr>
        <w:t xml:space="preserve"> a special session for first-time attendees to get a better understanding of what to expect during a meeting with congressional representatives. </w:t>
      </w:r>
    </w:p>
    <w:p w14:paraId="07D0B59E" w14:textId="19FCF2BB" w:rsidR="00A27E33" w:rsidRPr="00A27E33" w:rsidRDefault="00920460" w:rsidP="00FC299E">
      <w:pPr>
        <w:rPr>
          <w:rFonts w:cstheme="minorHAnsi"/>
          <w:sz w:val="24"/>
          <w:szCs w:val="24"/>
        </w:rPr>
      </w:pPr>
      <w:r w:rsidRPr="00703412">
        <w:rPr>
          <w:rFonts w:cstheme="minorHAnsi"/>
          <w:sz w:val="24"/>
          <w:szCs w:val="24"/>
        </w:rPr>
        <w:t xml:space="preserve">Armed with this knowledge, </w:t>
      </w:r>
      <w:r w:rsidR="00FE4295">
        <w:rPr>
          <w:rFonts w:cstheme="minorHAnsi"/>
          <w:sz w:val="24"/>
          <w:szCs w:val="24"/>
        </w:rPr>
        <w:t xml:space="preserve">attendees </w:t>
      </w:r>
      <w:r w:rsidRPr="00703412">
        <w:rPr>
          <w:rFonts w:cstheme="minorHAnsi"/>
          <w:sz w:val="24"/>
          <w:szCs w:val="24"/>
        </w:rPr>
        <w:t>are better equipped to articulate their priorities and effectively advocate</w:t>
      </w:r>
      <w:r w:rsidR="000518B1">
        <w:rPr>
          <w:rFonts w:cstheme="minorHAnsi"/>
          <w:sz w:val="24"/>
          <w:szCs w:val="24"/>
        </w:rPr>
        <w:t xml:space="preserve"> </w:t>
      </w:r>
      <w:r w:rsidR="00B97C7A">
        <w:rPr>
          <w:rFonts w:cstheme="minorHAnsi"/>
          <w:sz w:val="24"/>
          <w:szCs w:val="24"/>
        </w:rPr>
        <w:t>for policies that ensure community banks flourish</w:t>
      </w:r>
      <w:r w:rsidRPr="00703412">
        <w:rPr>
          <w:rFonts w:cstheme="minorHAnsi"/>
          <w:sz w:val="24"/>
          <w:szCs w:val="24"/>
        </w:rPr>
        <w:t>.</w:t>
      </w:r>
      <w:r w:rsidRPr="00920460">
        <w:rPr>
          <w:rFonts w:cstheme="minorHAnsi"/>
          <w:sz w:val="24"/>
          <w:szCs w:val="24"/>
        </w:rPr>
        <w:t xml:space="preserve"> </w:t>
      </w:r>
      <w:r w:rsidR="00414041" w:rsidRPr="00920460">
        <w:rPr>
          <w:rFonts w:eastAsia="Times New Roman" w:cstheme="minorHAnsi"/>
          <w:sz w:val="24"/>
          <w:szCs w:val="24"/>
        </w:rPr>
        <w:t xml:space="preserve">ICBA’s experts </w:t>
      </w:r>
      <w:r w:rsidR="00095D8E">
        <w:rPr>
          <w:rFonts w:eastAsia="Times New Roman" w:cstheme="minorHAnsi"/>
          <w:sz w:val="24"/>
          <w:szCs w:val="24"/>
        </w:rPr>
        <w:t xml:space="preserve">will help prepare you to </w:t>
      </w:r>
      <w:r w:rsidR="00414041" w:rsidRPr="00920460">
        <w:rPr>
          <w:rFonts w:eastAsia="Times New Roman" w:cstheme="minorHAnsi"/>
          <w:sz w:val="24"/>
          <w:szCs w:val="24"/>
        </w:rPr>
        <w:t xml:space="preserve">speak about economic policy and legislation in a way that hits home to </w:t>
      </w:r>
      <w:r w:rsidRPr="00920460">
        <w:rPr>
          <w:rFonts w:eastAsia="Times New Roman" w:cstheme="minorHAnsi"/>
          <w:sz w:val="24"/>
          <w:szCs w:val="24"/>
        </w:rPr>
        <w:t>legislators and their staff.</w:t>
      </w:r>
    </w:p>
    <w:p w14:paraId="147D3E2F" w14:textId="3DD7E085" w:rsidR="00223B73" w:rsidRDefault="00920460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920460">
        <w:rPr>
          <w:rFonts w:eastAsia="Times New Roman" w:cstheme="minorHAnsi"/>
          <w:sz w:val="24"/>
          <w:szCs w:val="24"/>
        </w:rPr>
        <w:t>One key lesson</w:t>
      </w:r>
      <w:r w:rsidR="00FC299E">
        <w:rPr>
          <w:rFonts w:eastAsia="Times New Roman" w:cstheme="minorHAnsi"/>
          <w:sz w:val="24"/>
          <w:szCs w:val="24"/>
        </w:rPr>
        <w:t xml:space="preserve"> is “m</w:t>
      </w:r>
      <w:r w:rsidRPr="00920460">
        <w:rPr>
          <w:rFonts w:eastAsia="Times New Roman" w:cstheme="minorHAnsi"/>
          <w:sz w:val="24"/>
          <w:szCs w:val="24"/>
        </w:rPr>
        <w:t xml:space="preserve">aking the ask.” Every visit should culminate in asking a congressperson’s office to act, </w:t>
      </w:r>
      <w:r w:rsidR="00A27E33" w:rsidRPr="00A27E33">
        <w:rPr>
          <w:rFonts w:eastAsia="Times New Roman" w:cstheme="minorHAnsi"/>
          <w:sz w:val="24"/>
          <w:szCs w:val="24"/>
        </w:rPr>
        <w:t>whether it’s sponsoring, cosponsoring or voting for a bill</w:t>
      </w:r>
      <w:r w:rsidRPr="00920460">
        <w:rPr>
          <w:rFonts w:eastAsia="Times New Roman" w:cstheme="minorHAnsi"/>
          <w:sz w:val="24"/>
          <w:szCs w:val="24"/>
        </w:rPr>
        <w:t>, and the preferred timeframe</w:t>
      </w:r>
      <w:r w:rsidR="00A27E33" w:rsidRPr="00A27E33">
        <w:rPr>
          <w:rFonts w:eastAsia="Times New Roman" w:cstheme="minorHAnsi"/>
          <w:sz w:val="24"/>
          <w:szCs w:val="24"/>
        </w:rPr>
        <w:t>.</w:t>
      </w:r>
      <w:r w:rsidRPr="00920460">
        <w:rPr>
          <w:rFonts w:eastAsia="Times New Roman" w:cstheme="minorHAnsi"/>
          <w:sz w:val="24"/>
          <w:szCs w:val="24"/>
        </w:rPr>
        <w:t xml:space="preserve"> A visit without an ask is just a visit. A visit with an ask helps move the community bank agenda forward.</w:t>
      </w:r>
      <w:r w:rsidR="000518B1">
        <w:rPr>
          <w:rFonts w:eastAsia="Times New Roman" w:cstheme="minorHAnsi"/>
          <w:sz w:val="24"/>
          <w:szCs w:val="24"/>
        </w:rPr>
        <w:t xml:space="preserve"> </w:t>
      </w:r>
    </w:p>
    <w:p w14:paraId="6CD420E6" w14:textId="475B4BF1" w:rsidR="00A27E33" w:rsidRPr="00A27E33" w:rsidRDefault="000518B1" w:rsidP="00EF1CAF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If it will be your first time—or you would like a refresher—you can attend our First Timers breakout session, which will have an overview of our asks and provide you the chance to practice a meeting with your peers. </w:t>
      </w:r>
    </w:p>
    <w:p w14:paraId="2BF5EBC5" w14:textId="77777777" w:rsidR="00223B73" w:rsidRDefault="00223B73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</w:p>
    <w:p w14:paraId="6998168F" w14:textId="0CC8E307" w:rsidR="00223B73" w:rsidRPr="00EF1CAF" w:rsidRDefault="00223B73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[subhead] </w:t>
      </w:r>
      <w:proofErr w:type="gramStart"/>
      <w:r w:rsidRPr="00EF1CAF">
        <w:rPr>
          <w:rFonts w:eastAsia="Times New Roman" w:cstheme="minorHAnsi"/>
          <w:b/>
          <w:bCs/>
          <w:sz w:val="24"/>
          <w:szCs w:val="24"/>
        </w:rPr>
        <w:t>The</w:t>
      </w:r>
      <w:proofErr w:type="gramEnd"/>
      <w:r w:rsidRPr="00EF1CAF">
        <w:rPr>
          <w:rFonts w:eastAsia="Times New Roman" w:cstheme="minorHAnsi"/>
          <w:b/>
          <w:bCs/>
          <w:sz w:val="24"/>
          <w:szCs w:val="24"/>
        </w:rPr>
        <w:t xml:space="preserve"> issues on the docket this year</w:t>
      </w:r>
    </w:p>
    <w:p w14:paraId="20FF01BB" w14:textId="341D782D" w:rsidR="00A27E33" w:rsidRPr="00A27E33" w:rsidRDefault="00A27E33" w:rsidP="00EF1CAF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A27E33">
        <w:rPr>
          <w:rFonts w:eastAsia="Times New Roman" w:cstheme="minorHAnsi"/>
          <w:sz w:val="24"/>
          <w:szCs w:val="24"/>
        </w:rPr>
        <w:t>This year’s agenda will include critical issues</w:t>
      </w:r>
      <w:r w:rsidR="00374A65" w:rsidRPr="00920460">
        <w:rPr>
          <w:rFonts w:eastAsia="Times New Roman" w:cstheme="minorHAnsi"/>
          <w:sz w:val="24"/>
          <w:szCs w:val="24"/>
        </w:rPr>
        <w:t xml:space="preserve"> and bills</w:t>
      </w:r>
      <w:r w:rsidRPr="00A27E33">
        <w:rPr>
          <w:rFonts w:eastAsia="Times New Roman" w:cstheme="minorHAnsi"/>
          <w:sz w:val="24"/>
          <w:szCs w:val="24"/>
        </w:rPr>
        <w:t xml:space="preserve"> such as:</w:t>
      </w:r>
    </w:p>
    <w:p w14:paraId="1CDD0AF1" w14:textId="1DCD2B9B" w:rsidR="00374A65" w:rsidRPr="00920460" w:rsidRDefault="00374A65" w:rsidP="00EF1CA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color w:val="212529"/>
        </w:rPr>
      </w:pPr>
      <w:r w:rsidRPr="00920460">
        <w:rPr>
          <w:rFonts w:asciiTheme="minorHAnsi" w:hAnsiTheme="minorHAnsi" w:cstheme="minorHAnsi"/>
          <w:color w:val="212529"/>
        </w:rPr>
        <w:t>The </w:t>
      </w:r>
      <w:hyperlink r:id="rId9" w:tgtFrame="_blank" w:history="1">
        <w:r w:rsidRPr="00920460">
          <w:rPr>
            <w:rStyle w:val="Hyperlink"/>
            <w:rFonts w:asciiTheme="minorHAnsi" w:eastAsiaTheme="majorEastAsia" w:hAnsiTheme="minorHAnsi" w:cstheme="minorHAnsi"/>
            <w:b/>
            <w:bCs/>
          </w:rPr>
          <w:t>Close the Shadow Banking Loophole Act</w:t>
        </w:r>
      </w:hyperlink>
      <w:r w:rsidRPr="00920460">
        <w:rPr>
          <w:rFonts w:asciiTheme="minorHAnsi" w:hAnsiTheme="minorHAnsi" w:cstheme="minorHAnsi"/>
          <w:color w:val="212529"/>
        </w:rPr>
        <w:t> (S. 3538), which would require companies that acquire an ILC to be subject to the same consolidated supervision by the Federal Reserve as any other bank holding company</w:t>
      </w:r>
    </w:p>
    <w:p w14:paraId="66F975A6" w14:textId="630E9241" w:rsidR="00374A65" w:rsidRPr="00920460" w:rsidRDefault="00374A65" w:rsidP="00EF1CA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color w:val="212529"/>
        </w:rPr>
      </w:pPr>
      <w:r w:rsidRPr="00920460">
        <w:rPr>
          <w:rFonts w:asciiTheme="minorHAnsi" w:hAnsiTheme="minorHAnsi" w:cstheme="minorHAnsi"/>
          <w:color w:val="212529"/>
        </w:rPr>
        <w:t>The </w:t>
      </w:r>
      <w:hyperlink r:id="rId10" w:tgtFrame="_blank" w:history="1">
        <w:r w:rsidRPr="00920460">
          <w:rPr>
            <w:rStyle w:val="Hyperlink"/>
            <w:rFonts w:asciiTheme="minorHAnsi" w:eastAsiaTheme="majorEastAsia" w:hAnsiTheme="minorHAnsi" w:cstheme="minorHAnsi"/>
            <w:b/>
            <w:bCs/>
          </w:rPr>
          <w:t>Homebuyers Privacy Protection Act</w:t>
        </w:r>
      </w:hyperlink>
      <w:r w:rsidRPr="00920460">
        <w:rPr>
          <w:rFonts w:asciiTheme="minorHAnsi" w:hAnsiTheme="minorHAnsi" w:cstheme="minorHAnsi"/>
          <w:color w:val="212529"/>
        </w:rPr>
        <w:t> (H.R. 7297/S. 3502), which would address “trigger leads” by restricting credit reporting agencies from selling consumers’ contact information when they apply for a residential mortgage</w:t>
      </w:r>
    </w:p>
    <w:p w14:paraId="0B234F14" w14:textId="410DA340" w:rsidR="00374A65" w:rsidRPr="00920460" w:rsidRDefault="00374A65" w:rsidP="00EF1CA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color w:val="212529"/>
        </w:rPr>
      </w:pPr>
      <w:r w:rsidRPr="00920460">
        <w:rPr>
          <w:rFonts w:asciiTheme="minorHAnsi" w:hAnsiTheme="minorHAnsi" w:cstheme="minorHAnsi"/>
          <w:color w:val="212529"/>
        </w:rPr>
        <w:t>The </w:t>
      </w:r>
      <w:hyperlink r:id="rId11" w:tgtFrame="_blank" w:history="1">
        <w:r w:rsidRPr="00920460">
          <w:rPr>
            <w:rStyle w:val="Hyperlink"/>
            <w:rFonts w:asciiTheme="minorHAnsi" w:eastAsiaTheme="majorEastAsia" w:hAnsiTheme="minorHAnsi" w:cstheme="minorHAnsi"/>
            <w:b/>
            <w:bCs/>
          </w:rPr>
          <w:t>Credit Card Competition Act</w:t>
        </w:r>
      </w:hyperlink>
      <w:r w:rsidRPr="00920460">
        <w:rPr>
          <w:rFonts w:asciiTheme="minorHAnsi" w:hAnsiTheme="minorHAnsi" w:cstheme="minorHAnsi"/>
          <w:color w:val="212529"/>
        </w:rPr>
        <w:t> (S. 1838/H.R. 3881), which would extend routing restrictions to credit card transactions</w:t>
      </w:r>
    </w:p>
    <w:p w14:paraId="649D69B6" w14:textId="433CADB5" w:rsidR="00374A65" w:rsidRPr="00920460" w:rsidRDefault="00374A65" w:rsidP="00EF1CA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color w:val="212529"/>
        </w:rPr>
      </w:pPr>
      <w:r w:rsidRPr="00920460">
        <w:rPr>
          <w:rFonts w:asciiTheme="minorHAnsi" w:hAnsiTheme="minorHAnsi" w:cstheme="minorHAnsi"/>
          <w:color w:val="212529"/>
        </w:rPr>
        <w:t>The </w:t>
      </w:r>
      <w:hyperlink r:id="rId12" w:tgtFrame="_blank" w:history="1">
        <w:r w:rsidRPr="00920460">
          <w:rPr>
            <w:rStyle w:val="Hyperlink"/>
            <w:rFonts w:asciiTheme="minorHAnsi" w:eastAsiaTheme="majorEastAsia" w:hAnsiTheme="minorHAnsi" w:cstheme="minorHAnsi"/>
            <w:b/>
            <w:bCs/>
          </w:rPr>
          <w:t>Access to Credit for our Rural Economy (ACRE) Act</w:t>
        </w:r>
      </w:hyperlink>
      <w:r w:rsidRPr="00920460">
        <w:rPr>
          <w:rFonts w:asciiTheme="minorHAnsi" w:hAnsiTheme="minorHAnsi" w:cstheme="minorHAnsi"/>
          <w:color w:val="212529"/>
        </w:rPr>
        <w:t> (H.R. 3139/S. 2371), which would make interest income on farm real estate and rural mortgage loans tax-exempt</w:t>
      </w:r>
    </w:p>
    <w:p w14:paraId="267C253B" w14:textId="77777777" w:rsidR="00223B73" w:rsidRDefault="00223B73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</w:p>
    <w:p w14:paraId="519B7E34" w14:textId="27535F42" w:rsidR="00223B73" w:rsidRDefault="00223B73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[subhead] Join us in Washington</w:t>
      </w:r>
    </w:p>
    <w:p w14:paraId="04B8125E" w14:textId="336F584E" w:rsidR="00920460" w:rsidRPr="00920460" w:rsidRDefault="00920460" w:rsidP="00EF1CAF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920460">
        <w:rPr>
          <w:rFonts w:eastAsia="Times New Roman" w:cstheme="minorHAnsi"/>
          <w:sz w:val="24"/>
          <w:szCs w:val="24"/>
        </w:rPr>
        <w:t>There has never been a more critical time for community bankers to advocate for their industry. The ICBA Capital Summit is your chance to stand united in your mission to promote a vibrant, resilient community banking industry that fosters economic growth and prosperity for all.</w:t>
      </w:r>
    </w:p>
    <w:p w14:paraId="091BA5E6" w14:textId="54995F98" w:rsidR="00920460" w:rsidRPr="00920460" w:rsidRDefault="00920460" w:rsidP="00EF1CAF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920460">
        <w:rPr>
          <w:rFonts w:eastAsia="Times New Roman" w:cstheme="minorHAnsi"/>
          <w:sz w:val="24"/>
          <w:szCs w:val="24"/>
        </w:rPr>
        <w:t xml:space="preserve">When community bankers come together for advocacy, it amplifies their voices and reminds legislators and policymakers that community bankers are an important force for good. </w:t>
      </w:r>
    </w:p>
    <w:p w14:paraId="52FD50DB" w14:textId="1FFEFB42" w:rsidR="00223B73" w:rsidRDefault="00920460" w:rsidP="00FC299E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920460">
        <w:rPr>
          <w:rFonts w:eastAsia="Times New Roman" w:cstheme="minorHAnsi"/>
          <w:sz w:val="24"/>
          <w:szCs w:val="24"/>
        </w:rPr>
        <w:t xml:space="preserve">Don’t miss your chance to add to the chorus. </w:t>
      </w:r>
      <w:r w:rsidR="00A27E33" w:rsidRPr="00A27E33">
        <w:rPr>
          <w:rFonts w:eastAsia="Times New Roman" w:cstheme="minorHAnsi"/>
          <w:sz w:val="24"/>
          <w:szCs w:val="24"/>
        </w:rPr>
        <w:t>Register for the ICBA 202</w:t>
      </w:r>
      <w:r w:rsidR="00374A65" w:rsidRPr="00920460">
        <w:rPr>
          <w:rFonts w:eastAsia="Times New Roman" w:cstheme="minorHAnsi"/>
          <w:sz w:val="24"/>
          <w:szCs w:val="24"/>
        </w:rPr>
        <w:t>4</w:t>
      </w:r>
      <w:r w:rsidR="00A27E33" w:rsidRPr="00A27E33">
        <w:rPr>
          <w:rFonts w:eastAsia="Times New Roman" w:cstheme="minorHAnsi"/>
          <w:sz w:val="24"/>
          <w:szCs w:val="24"/>
        </w:rPr>
        <w:t xml:space="preserve"> Capital Summit and </w:t>
      </w:r>
      <w:r w:rsidRPr="00920460">
        <w:rPr>
          <w:rFonts w:eastAsia="Times New Roman" w:cstheme="minorHAnsi"/>
          <w:sz w:val="24"/>
          <w:szCs w:val="24"/>
        </w:rPr>
        <w:t xml:space="preserve">join your peers </w:t>
      </w:r>
      <w:r w:rsidR="00223B73">
        <w:rPr>
          <w:rFonts w:eastAsia="Times New Roman" w:cstheme="minorHAnsi"/>
          <w:sz w:val="24"/>
          <w:szCs w:val="24"/>
        </w:rPr>
        <w:t xml:space="preserve">from </w:t>
      </w:r>
      <w:r w:rsidR="00FC299E">
        <w:rPr>
          <w:rFonts w:eastAsia="Times New Roman" w:cstheme="minorHAnsi"/>
          <w:sz w:val="24"/>
          <w:szCs w:val="24"/>
        </w:rPr>
        <w:t>April 28</w:t>
      </w:r>
      <w:r w:rsidR="00223B73" w:rsidRPr="00EF1CAF">
        <w:rPr>
          <w:rFonts w:eastAsia="Times New Roman" w:cstheme="minorHAnsi"/>
          <w:sz w:val="24"/>
          <w:szCs w:val="24"/>
        </w:rPr>
        <w:t xml:space="preserve"> to</w:t>
      </w:r>
      <w:r w:rsidR="00223B73">
        <w:rPr>
          <w:rFonts w:eastAsia="Times New Roman" w:cstheme="minorHAnsi"/>
          <w:sz w:val="24"/>
          <w:szCs w:val="24"/>
          <w:vertAlign w:val="superscript"/>
        </w:rPr>
        <w:t xml:space="preserve"> </w:t>
      </w:r>
      <w:r w:rsidR="00FC299E">
        <w:rPr>
          <w:rFonts w:eastAsia="Times New Roman" w:cstheme="minorHAnsi"/>
          <w:sz w:val="24"/>
          <w:szCs w:val="24"/>
        </w:rPr>
        <w:t xml:space="preserve">May 1 </w:t>
      </w:r>
      <w:r w:rsidRPr="00920460">
        <w:rPr>
          <w:rFonts w:eastAsia="Times New Roman" w:cstheme="minorHAnsi"/>
          <w:sz w:val="24"/>
          <w:szCs w:val="24"/>
        </w:rPr>
        <w:t xml:space="preserve">as you advocate </w:t>
      </w:r>
      <w:r w:rsidR="006A2C94">
        <w:rPr>
          <w:rFonts w:eastAsia="Times New Roman" w:cstheme="minorHAnsi"/>
          <w:sz w:val="24"/>
          <w:szCs w:val="24"/>
        </w:rPr>
        <w:t xml:space="preserve">for policies that </w:t>
      </w:r>
      <w:r w:rsidR="00223B73">
        <w:rPr>
          <w:rFonts w:eastAsia="Times New Roman" w:cstheme="minorHAnsi"/>
          <w:sz w:val="24"/>
          <w:szCs w:val="24"/>
        </w:rPr>
        <w:t>will help ensure</w:t>
      </w:r>
      <w:r w:rsidR="006A2C94">
        <w:rPr>
          <w:rFonts w:eastAsia="Times New Roman" w:cstheme="minorHAnsi"/>
          <w:sz w:val="24"/>
          <w:szCs w:val="24"/>
        </w:rPr>
        <w:t xml:space="preserve"> </w:t>
      </w:r>
      <w:r w:rsidRPr="00920460">
        <w:rPr>
          <w:rFonts w:eastAsia="Times New Roman" w:cstheme="minorHAnsi"/>
          <w:sz w:val="24"/>
          <w:szCs w:val="24"/>
        </w:rPr>
        <w:t xml:space="preserve">community banks continue to thrive. </w:t>
      </w:r>
    </w:p>
    <w:p w14:paraId="3992E97B" w14:textId="77777777" w:rsidR="00FC299E" w:rsidRDefault="00FC299E" w:rsidP="00FC299E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</w:p>
    <w:p w14:paraId="29521587" w14:textId="05E97458" w:rsidR="00FC299E" w:rsidRPr="00920460" w:rsidRDefault="00FC299E" w:rsidP="00EF1CAF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EF1CAF">
        <w:rPr>
          <w:rFonts w:eastAsia="Times New Roman" w:cstheme="minorHAnsi"/>
          <w:b/>
          <w:bCs/>
          <w:sz w:val="24"/>
          <w:szCs w:val="24"/>
        </w:rPr>
        <w:t>John Coleman</w:t>
      </w:r>
      <w:r>
        <w:rPr>
          <w:rFonts w:eastAsia="Times New Roman" w:cstheme="minorHAnsi"/>
          <w:sz w:val="24"/>
          <w:szCs w:val="24"/>
        </w:rPr>
        <w:t xml:space="preserve"> is </w:t>
      </w:r>
      <w:r w:rsidRPr="00FC299E">
        <w:rPr>
          <w:rFonts w:eastAsia="Times New Roman" w:cstheme="minorHAnsi"/>
          <w:sz w:val="24"/>
          <w:szCs w:val="24"/>
        </w:rPr>
        <w:t xml:space="preserve">assistant vice president of advocacy for </w:t>
      </w:r>
      <w:r>
        <w:rPr>
          <w:rFonts w:eastAsia="Times New Roman" w:cstheme="minorHAnsi"/>
          <w:sz w:val="24"/>
          <w:szCs w:val="24"/>
        </w:rPr>
        <w:t>ICBA.</w:t>
      </w:r>
    </w:p>
    <w:p w14:paraId="6B53CD81" w14:textId="2ADC7E0D" w:rsidR="00A42143" w:rsidRDefault="00FC299E" w:rsidP="00FC299E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[ends]</w:t>
      </w:r>
    </w:p>
    <w:p w14:paraId="430ABF3A" w14:textId="77777777" w:rsidR="00223B73" w:rsidRDefault="00223B73" w:rsidP="00FC299E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</w:p>
    <w:p w14:paraId="3E52DFF8" w14:textId="03E6465B" w:rsidR="00223B73" w:rsidRDefault="00223B73" w:rsidP="00FC299E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[boxout]</w:t>
      </w:r>
    </w:p>
    <w:p w14:paraId="6950B7CF" w14:textId="3B81996F" w:rsidR="00223B73" w:rsidRPr="00EF1CAF" w:rsidRDefault="00223B73" w:rsidP="00FC299E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EF1CAF">
        <w:rPr>
          <w:rFonts w:eastAsia="Times New Roman" w:cstheme="minorHAnsi"/>
          <w:b/>
          <w:bCs/>
          <w:sz w:val="24"/>
          <w:szCs w:val="24"/>
        </w:rPr>
        <w:t>Learn more and register</w:t>
      </w:r>
    </w:p>
    <w:p w14:paraId="6D782999" w14:textId="44EE9C47" w:rsidR="00223B73" w:rsidRDefault="00223B73" w:rsidP="00FC299E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You’ll find information on the agenda, speakers and how to register at icba.org/</w:t>
      </w:r>
      <w:proofErr w:type="spellStart"/>
      <w:r>
        <w:rPr>
          <w:rFonts w:eastAsia="Times New Roman" w:cstheme="minorHAnsi"/>
          <w:sz w:val="24"/>
          <w:szCs w:val="24"/>
        </w:rPr>
        <w:t>capitalsummit</w:t>
      </w:r>
      <w:proofErr w:type="spellEnd"/>
    </w:p>
    <w:p w14:paraId="4D1D65D9" w14:textId="77777777" w:rsidR="00223B73" w:rsidRDefault="00223B73" w:rsidP="00FC299E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</w:p>
    <w:p w14:paraId="42E0649A" w14:textId="5DCFC46B" w:rsidR="00FC299E" w:rsidRDefault="00FC299E" w:rsidP="00FC299E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[pull quote]</w:t>
      </w:r>
    </w:p>
    <w:p w14:paraId="260777B4" w14:textId="2FDE2F25" w:rsidR="00FC299E" w:rsidRPr="00920460" w:rsidRDefault="00FC299E" w:rsidP="00EF1CAF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“[Advocacy is]</w:t>
      </w:r>
      <w:r w:rsidRPr="00920460">
        <w:rPr>
          <w:rFonts w:eastAsia="Times New Roman" w:cstheme="minorHAnsi"/>
          <w:sz w:val="24"/>
          <w:szCs w:val="24"/>
        </w:rPr>
        <w:t xml:space="preserve"> demonstrating the real-world impact of potential legislation with stories, statistics and anecdotes that </w:t>
      </w:r>
      <w:r>
        <w:rPr>
          <w:rFonts w:eastAsia="Times New Roman" w:cstheme="minorHAnsi"/>
          <w:sz w:val="24"/>
          <w:szCs w:val="24"/>
        </w:rPr>
        <w:t>explain the impact policies have on community banks and the daily lives of their customers</w:t>
      </w:r>
      <w:r w:rsidRPr="00920460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>”</w:t>
      </w:r>
    </w:p>
    <w:sectPr w:rsidR="00FC299E" w:rsidRPr="00920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1B05"/>
    <w:multiLevelType w:val="multilevel"/>
    <w:tmpl w:val="90A2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83B14"/>
    <w:multiLevelType w:val="multilevel"/>
    <w:tmpl w:val="4588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035B3"/>
    <w:multiLevelType w:val="multilevel"/>
    <w:tmpl w:val="945C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4811076">
    <w:abstractNumId w:val="1"/>
  </w:num>
  <w:num w:numId="2" w16cid:durableId="1045787997">
    <w:abstractNumId w:val="0"/>
  </w:num>
  <w:num w:numId="3" w16cid:durableId="40518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33"/>
    <w:rsid w:val="000518B1"/>
    <w:rsid w:val="00060375"/>
    <w:rsid w:val="0007182F"/>
    <w:rsid w:val="00095D8E"/>
    <w:rsid w:val="000A5F33"/>
    <w:rsid w:val="001F40B4"/>
    <w:rsid w:val="00204CE2"/>
    <w:rsid w:val="00223B73"/>
    <w:rsid w:val="002858F4"/>
    <w:rsid w:val="002F2686"/>
    <w:rsid w:val="00312EA7"/>
    <w:rsid w:val="00314BD9"/>
    <w:rsid w:val="00332E38"/>
    <w:rsid w:val="00374A65"/>
    <w:rsid w:val="003B7D5D"/>
    <w:rsid w:val="003C4E50"/>
    <w:rsid w:val="003C7D57"/>
    <w:rsid w:val="00414041"/>
    <w:rsid w:val="00421227"/>
    <w:rsid w:val="004752CA"/>
    <w:rsid w:val="00483A0A"/>
    <w:rsid w:val="004D321C"/>
    <w:rsid w:val="004F359C"/>
    <w:rsid w:val="00524277"/>
    <w:rsid w:val="00552FF4"/>
    <w:rsid w:val="005658AC"/>
    <w:rsid w:val="005C030E"/>
    <w:rsid w:val="005D172E"/>
    <w:rsid w:val="006A2C94"/>
    <w:rsid w:val="006B02AD"/>
    <w:rsid w:val="006C2CE1"/>
    <w:rsid w:val="00754F8B"/>
    <w:rsid w:val="00791FA2"/>
    <w:rsid w:val="00793CD7"/>
    <w:rsid w:val="008259DE"/>
    <w:rsid w:val="00862EB0"/>
    <w:rsid w:val="00874B29"/>
    <w:rsid w:val="00893E68"/>
    <w:rsid w:val="008A1148"/>
    <w:rsid w:val="008B3CB6"/>
    <w:rsid w:val="00920460"/>
    <w:rsid w:val="009379CB"/>
    <w:rsid w:val="009476AD"/>
    <w:rsid w:val="009879B9"/>
    <w:rsid w:val="00A27E33"/>
    <w:rsid w:val="00A42143"/>
    <w:rsid w:val="00A66E4F"/>
    <w:rsid w:val="00AC0247"/>
    <w:rsid w:val="00AF16F5"/>
    <w:rsid w:val="00B069D9"/>
    <w:rsid w:val="00B3785E"/>
    <w:rsid w:val="00B45E5F"/>
    <w:rsid w:val="00B601BB"/>
    <w:rsid w:val="00B728FB"/>
    <w:rsid w:val="00B90559"/>
    <w:rsid w:val="00B94D60"/>
    <w:rsid w:val="00B97C7A"/>
    <w:rsid w:val="00BC61B1"/>
    <w:rsid w:val="00BF05EE"/>
    <w:rsid w:val="00C12DC2"/>
    <w:rsid w:val="00C57390"/>
    <w:rsid w:val="00C87410"/>
    <w:rsid w:val="00CF15CD"/>
    <w:rsid w:val="00D937E3"/>
    <w:rsid w:val="00DD01EE"/>
    <w:rsid w:val="00E0589D"/>
    <w:rsid w:val="00E27720"/>
    <w:rsid w:val="00E331F2"/>
    <w:rsid w:val="00E40951"/>
    <w:rsid w:val="00E86EE6"/>
    <w:rsid w:val="00ED61BD"/>
    <w:rsid w:val="00EF1CAF"/>
    <w:rsid w:val="00F327E5"/>
    <w:rsid w:val="00F53F0F"/>
    <w:rsid w:val="00F872A0"/>
    <w:rsid w:val="00F90DEB"/>
    <w:rsid w:val="00FB2290"/>
    <w:rsid w:val="00FC299E"/>
    <w:rsid w:val="00FC6A52"/>
    <w:rsid w:val="00FD4A3D"/>
    <w:rsid w:val="00FE4295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F864"/>
  <w15:chartTrackingRefBased/>
  <w15:docId w15:val="{71A4D141-18D3-42A2-BC1B-AD3C7344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E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E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E3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E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E3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7E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E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E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7E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E3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7E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E3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E3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E3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E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E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E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E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7E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7E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7E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7E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7E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7E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7E3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7E3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7E3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7E33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2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7E3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7E33"/>
    <w:rPr>
      <w:i/>
      <w:iCs/>
    </w:rPr>
  </w:style>
  <w:style w:type="paragraph" w:styleId="Revision">
    <w:name w:val="Revision"/>
    <w:hidden/>
    <w:uiPriority w:val="99"/>
    <w:semiHidden/>
    <w:rsid w:val="00ED61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2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2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2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ba.quorum.us/campaign/ACR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ba.quorum.us/campaign/ccfees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icba.quorum.us/campaign/S3502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cba.quorum.us/campaign/IL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01efef5-a033-4415-9ec7-94695866da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AACA3845C1448872F65D4EF8AD3A9" ma:contentTypeVersion="20" ma:contentTypeDescription="Create a new document." ma:contentTypeScope="" ma:versionID="a392ab781da4aaf499882ad45af27026">
  <xsd:schema xmlns:xsd="http://www.w3.org/2001/XMLSchema" xmlns:xs="http://www.w3.org/2001/XMLSchema" xmlns:p="http://schemas.microsoft.com/office/2006/metadata/properties" xmlns:ns1="http://schemas.microsoft.com/sharepoint/v3" xmlns:ns3="201efef5-a033-4415-9ec7-94695866da69" xmlns:ns4="7eadc87d-4768-4c7a-b13d-14759b19e5bf" targetNamespace="http://schemas.microsoft.com/office/2006/metadata/properties" ma:root="true" ma:fieldsID="5e010ee40384b576ca4eb8bec5cf2217" ns1:_="" ns3:_="" ns4:_="">
    <xsd:import namespace="http://schemas.microsoft.com/sharepoint/v3"/>
    <xsd:import namespace="201efef5-a033-4415-9ec7-94695866da69"/>
    <xsd:import namespace="7eadc87d-4768-4c7a-b13d-14759b19e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efef5-a033-4415-9ec7-94695866d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dc87d-4768-4c7a-b13d-14759b19e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BCD54-8BB0-4CA1-A9B2-B108C904D6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1efef5-a033-4415-9ec7-94695866da69"/>
  </ds:schemaRefs>
</ds:datastoreItem>
</file>

<file path=customXml/itemProps2.xml><?xml version="1.0" encoding="utf-8"?>
<ds:datastoreItem xmlns:ds="http://schemas.openxmlformats.org/officeDocument/2006/customXml" ds:itemID="{3A9616C6-2F38-48A7-B935-CC8B43E45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1efef5-a033-4415-9ec7-94695866da69"/>
    <ds:schemaRef ds:uri="7eadc87d-4768-4c7a-b13d-14759b19e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F9ECE-AEDF-433D-B819-502809FE02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D83C4-0404-45B3-A1A4-5BE6DFAD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 Pike</dc:creator>
  <cp:keywords/>
  <dc:description/>
  <cp:lastModifiedBy>Rachel Hatcher</cp:lastModifiedBy>
  <cp:revision>4</cp:revision>
  <dcterms:created xsi:type="dcterms:W3CDTF">2024-03-08T20:11:00Z</dcterms:created>
  <dcterms:modified xsi:type="dcterms:W3CDTF">2024-03-13T17:32:00Z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0x01010045FAACA3845C1448872F65D4EF8AD3A9</vt:lpwstr>
  </property>
</Properties>
</file>