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8E20" w14:textId="7F33F447" w:rsidR="00C17361" w:rsidRPr="004D31A2" w:rsidRDefault="38B2802A" w:rsidP="6028A3D8">
      <w:pPr>
        <w:rPr>
          <w:rFonts w:asciiTheme="minorHAnsi" w:hAnsiTheme="minorHAnsi"/>
          <w:b/>
          <w:bCs/>
          <w:sz w:val="22"/>
        </w:rPr>
      </w:pPr>
      <w:r w:rsidRPr="6028A3D8">
        <w:rPr>
          <w:rFonts w:asciiTheme="minorHAnsi" w:hAnsiTheme="minorHAnsi"/>
          <w:b/>
          <w:bCs/>
          <w:sz w:val="22"/>
        </w:rPr>
        <w:t>How</w:t>
      </w:r>
      <w:r w:rsidR="76791AAD" w:rsidRPr="6028A3D8">
        <w:rPr>
          <w:rFonts w:asciiTheme="minorHAnsi" w:hAnsiTheme="minorHAnsi"/>
          <w:b/>
          <w:bCs/>
          <w:sz w:val="22"/>
        </w:rPr>
        <w:t xml:space="preserve"> </w:t>
      </w:r>
      <w:r w:rsidR="22252D56" w:rsidRPr="6028A3D8">
        <w:rPr>
          <w:rFonts w:asciiTheme="minorHAnsi" w:hAnsiTheme="minorHAnsi"/>
          <w:b/>
          <w:bCs/>
          <w:sz w:val="22"/>
        </w:rPr>
        <w:t xml:space="preserve">tax-subsidized </w:t>
      </w:r>
      <w:r w:rsidR="5DBC84B0" w:rsidRPr="6028A3D8">
        <w:rPr>
          <w:rFonts w:asciiTheme="minorHAnsi" w:hAnsiTheme="minorHAnsi"/>
          <w:b/>
          <w:bCs/>
          <w:sz w:val="22"/>
        </w:rPr>
        <w:t xml:space="preserve">credit union </w:t>
      </w:r>
      <w:r w:rsidR="22252D56" w:rsidRPr="6028A3D8">
        <w:rPr>
          <w:rFonts w:asciiTheme="minorHAnsi" w:hAnsiTheme="minorHAnsi"/>
          <w:b/>
          <w:bCs/>
          <w:sz w:val="22"/>
        </w:rPr>
        <w:t xml:space="preserve">bank purchases </w:t>
      </w:r>
      <w:r w:rsidR="4A83C686" w:rsidRPr="6028A3D8">
        <w:rPr>
          <w:rFonts w:asciiTheme="minorHAnsi" w:hAnsiTheme="minorHAnsi"/>
          <w:b/>
          <w:bCs/>
          <w:sz w:val="22"/>
        </w:rPr>
        <w:t>harm</w:t>
      </w:r>
      <w:r w:rsidR="12D03F57" w:rsidRPr="6028A3D8">
        <w:rPr>
          <w:rFonts w:asciiTheme="minorHAnsi" w:hAnsiTheme="minorHAnsi"/>
          <w:b/>
          <w:bCs/>
          <w:sz w:val="22"/>
        </w:rPr>
        <w:t xml:space="preserve"> local</w:t>
      </w:r>
      <w:r w:rsidR="4A83C686" w:rsidRPr="6028A3D8">
        <w:rPr>
          <w:rFonts w:asciiTheme="minorHAnsi" w:hAnsiTheme="minorHAnsi"/>
          <w:b/>
          <w:bCs/>
          <w:sz w:val="22"/>
        </w:rPr>
        <w:t xml:space="preserve"> </w:t>
      </w:r>
      <w:r w:rsidR="00D004DB">
        <w:rPr>
          <w:rFonts w:asciiTheme="minorHAnsi" w:hAnsiTheme="minorHAnsi"/>
          <w:b/>
          <w:bCs/>
          <w:sz w:val="22"/>
        </w:rPr>
        <w:t>communities</w:t>
      </w:r>
      <w:r w:rsidR="59483774" w:rsidRPr="6028A3D8">
        <w:rPr>
          <w:rFonts w:asciiTheme="minorHAnsi" w:hAnsiTheme="minorHAnsi"/>
          <w:b/>
          <w:bCs/>
          <w:sz w:val="22"/>
        </w:rPr>
        <w:t xml:space="preserve"> </w:t>
      </w:r>
    </w:p>
    <w:p w14:paraId="27A83EF9" w14:textId="77777777" w:rsidR="00C17361" w:rsidRPr="004D31A2" w:rsidRDefault="00C17361" w:rsidP="00F45934">
      <w:pPr>
        <w:rPr>
          <w:rFonts w:asciiTheme="minorHAnsi" w:hAnsiTheme="minorHAnsi" w:cstheme="minorHAnsi"/>
          <w:sz w:val="22"/>
        </w:rPr>
      </w:pPr>
    </w:p>
    <w:p w14:paraId="5605AFC7" w14:textId="77777777" w:rsidR="00D67D64" w:rsidRPr="004D31A2" w:rsidRDefault="00D67D64" w:rsidP="00D67D64">
      <w:pPr>
        <w:rPr>
          <w:rFonts w:asciiTheme="minorHAnsi" w:hAnsiTheme="minorHAnsi" w:cstheme="minorHAnsi"/>
          <w:sz w:val="22"/>
        </w:rPr>
      </w:pPr>
      <w:r w:rsidRPr="004D31A2">
        <w:rPr>
          <w:rFonts w:asciiTheme="minorHAnsi" w:hAnsiTheme="minorHAnsi" w:cstheme="minorHAnsi"/>
          <w:sz w:val="22"/>
        </w:rPr>
        <w:t xml:space="preserve">By </w:t>
      </w:r>
      <w:r w:rsidRPr="004D31A2">
        <w:rPr>
          <w:rFonts w:asciiTheme="minorHAnsi" w:hAnsiTheme="minorHAnsi" w:cstheme="minorHAnsi"/>
          <w:b/>
          <w:bCs/>
          <w:sz w:val="22"/>
        </w:rPr>
        <w:t>[BANKER NAME]</w:t>
      </w:r>
    </w:p>
    <w:p w14:paraId="5DACF295" w14:textId="022A388C" w:rsidR="00DC5311" w:rsidRPr="004D31A2" w:rsidRDefault="00DC5311" w:rsidP="00F45934">
      <w:pPr>
        <w:rPr>
          <w:rFonts w:asciiTheme="minorHAnsi" w:hAnsiTheme="minorHAnsi" w:cstheme="minorHAnsi"/>
          <w:sz w:val="22"/>
        </w:rPr>
      </w:pPr>
    </w:p>
    <w:p w14:paraId="02E38E5B" w14:textId="3E55CF07" w:rsidR="009F737E" w:rsidRPr="004D31A2" w:rsidRDefault="5A6CF3B5" w:rsidP="6028A3D8">
      <w:pPr>
        <w:rPr>
          <w:rFonts w:asciiTheme="minorHAnsi" w:hAnsiTheme="minorHAnsi"/>
          <w:sz w:val="22"/>
        </w:rPr>
      </w:pPr>
      <w:r w:rsidRPr="6028A3D8">
        <w:rPr>
          <w:rFonts w:asciiTheme="minorHAnsi" w:hAnsiTheme="minorHAnsi"/>
          <w:sz w:val="22"/>
        </w:rPr>
        <w:t xml:space="preserve">The dangerous trend of credit unions using their federal tax exemption to acquire taxpaying community banks </w:t>
      </w:r>
      <w:r w:rsidR="31366FCC" w:rsidRPr="6028A3D8">
        <w:rPr>
          <w:rFonts w:asciiTheme="minorHAnsi" w:hAnsiTheme="minorHAnsi"/>
          <w:sz w:val="22"/>
        </w:rPr>
        <w:t>has</w:t>
      </w:r>
      <w:r w:rsidR="1F98DA34" w:rsidRPr="6028A3D8">
        <w:rPr>
          <w:rFonts w:asciiTheme="minorHAnsi" w:hAnsiTheme="minorHAnsi"/>
          <w:sz w:val="22"/>
        </w:rPr>
        <w:t xml:space="preserve"> </w:t>
      </w:r>
      <w:r w:rsidR="1EA2D38B" w:rsidRPr="6028A3D8">
        <w:rPr>
          <w:rFonts w:asciiTheme="minorHAnsi" w:hAnsiTheme="minorHAnsi"/>
          <w:sz w:val="22"/>
        </w:rPr>
        <w:t>harmful con</w:t>
      </w:r>
      <w:r w:rsidR="2F6FD634" w:rsidRPr="6028A3D8">
        <w:rPr>
          <w:rFonts w:asciiTheme="minorHAnsi" w:hAnsiTheme="minorHAnsi"/>
          <w:sz w:val="22"/>
        </w:rPr>
        <w:t xml:space="preserve">sequences for </w:t>
      </w:r>
      <w:r w:rsidR="5AE89403" w:rsidRPr="6028A3D8">
        <w:rPr>
          <w:rFonts w:asciiTheme="minorHAnsi" w:hAnsiTheme="minorHAnsi"/>
          <w:sz w:val="22"/>
        </w:rPr>
        <w:t>local communities</w:t>
      </w:r>
      <w:r w:rsidR="31366FCC" w:rsidRPr="6028A3D8">
        <w:rPr>
          <w:rFonts w:asciiTheme="minorHAnsi" w:hAnsiTheme="minorHAnsi"/>
          <w:sz w:val="22"/>
        </w:rPr>
        <w:t xml:space="preserve">, which is why many states </w:t>
      </w:r>
      <w:r w:rsidR="26A1C2FF" w:rsidRPr="6028A3D8">
        <w:rPr>
          <w:rFonts w:asciiTheme="minorHAnsi" w:hAnsiTheme="minorHAnsi"/>
          <w:sz w:val="22"/>
        </w:rPr>
        <w:t>have begun to fight back</w:t>
      </w:r>
      <w:r w:rsidR="42B58212" w:rsidRPr="6028A3D8">
        <w:rPr>
          <w:rFonts w:asciiTheme="minorHAnsi" w:hAnsiTheme="minorHAnsi"/>
          <w:sz w:val="22"/>
        </w:rPr>
        <w:t>.</w:t>
      </w:r>
      <w:r w:rsidR="125A5C71" w:rsidRPr="6028A3D8">
        <w:rPr>
          <w:rFonts w:asciiTheme="minorHAnsi" w:hAnsiTheme="minorHAnsi"/>
          <w:sz w:val="22"/>
        </w:rPr>
        <w:t xml:space="preserve"> </w:t>
      </w:r>
      <w:r w:rsidR="471D6305" w:rsidRPr="6028A3D8">
        <w:rPr>
          <w:rFonts w:asciiTheme="minorHAnsi" w:hAnsiTheme="minorHAnsi"/>
          <w:sz w:val="22"/>
        </w:rPr>
        <w:t xml:space="preserve">Because these </w:t>
      </w:r>
      <w:r w:rsidR="15263AAA" w:rsidRPr="6028A3D8">
        <w:rPr>
          <w:rFonts w:asciiTheme="minorHAnsi" w:hAnsiTheme="minorHAnsi"/>
          <w:sz w:val="22"/>
        </w:rPr>
        <w:t>taxpayer-subsidized transactions</w:t>
      </w:r>
      <w:r w:rsidR="471D6305" w:rsidRPr="6028A3D8">
        <w:rPr>
          <w:rFonts w:asciiTheme="minorHAnsi" w:hAnsiTheme="minorHAnsi"/>
          <w:sz w:val="22"/>
        </w:rPr>
        <w:t xml:space="preserve"> diminish access to financial services in </w:t>
      </w:r>
      <w:r w:rsidR="00D92AD8" w:rsidRPr="6028A3D8">
        <w:rPr>
          <w:rFonts w:asciiTheme="minorHAnsi" w:hAnsiTheme="minorHAnsi"/>
          <w:sz w:val="22"/>
        </w:rPr>
        <w:t>local</w:t>
      </w:r>
      <w:r w:rsidR="471D6305" w:rsidRPr="6028A3D8">
        <w:rPr>
          <w:rFonts w:asciiTheme="minorHAnsi" w:hAnsiTheme="minorHAnsi"/>
          <w:sz w:val="22"/>
        </w:rPr>
        <w:t xml:space="preserve"> communities, </w:t>
      </w:r>
      <w:r w:rsidR="471D6305" w:rsidRPr="6028A3D8">
        <w:rPr>
          <w:rFonts w:asciiTheme="minorHAnsi" w:hAnsiTheme="minorHAnsi"/>
          <w:b/>
          <w:bCs/>
          <w:sz w:val="22"/>
        </w:rPr>
        <w:t>[BANK NAME]</w:t>
      </w:r>
      <w:r w:rsidR="471D6305" w:rsidRPr="6028A3D8">
        <w:rPr>
          <w:rFonts w:asciiTheme="minorHAnsi" w:hAnsiTheme="minorHAnsi"/>
          <w:sz w:val="22"/>
        </w:rPr>
        <w:t xml:space="preserve"> </w:t>
      </w:r>
      <w:r w:rsidR="00D92AD8" w:rsidRPr="6028A3D8">
        <w:rPr>
          <w:rFonts w:asciiTheme="minorHAnsi" w:hAnsiTheme="minorHAnsi"/>
          <w:sz w:val="22"/>
        </w:rPr>
        <w:t>and</w:t>
      </w:r>
      <w:r w:rsidR="471D6305" w:rsidRPr="6028A3D8">
        <w:rPr>
          <w:rFonts w:asciiTheme="minorHAnsi" w:hAnsiTheme="minorHAnsi"/>
          <w:sz w:val="22"/>
        </w:rPr>
        <w:t xml:space="preserve"> other community banks</w:t>
      </w:r>
      <w:r w:rsidR="31A53876" w:rsidRPr="6028A3D8">
        <w:rPr>
          <w:rFonts w:asciiTheme="minorHAnsi" w:hAnsiTheme="minorHAnsi"/>
          <w:sz w:val="22"/>
        </w:rPr>
        <w:t xml:space="preserve"> across the country </w:t>
      </w:r>
      <w:r w:rsidR="00CF6D81">
        <w:rPr>
          <w:rFonts w:asciiTheme="minorHAnsi" w:hAnsiTheme="minorHAnsi"/>
          <w:sz w:val="22"/>
        </w:rPr>
        <w:t>urge</w:t>
      </w:r>
      <w:r w:rsidR="471D6305" w:rsidRPr="6028A3D8">
        <w:rPr>
          <w:rFonts w:asciiTheme="minorHAnsi" w:hAnsiTheme="minorHAnsi"/>
          <w:sz w:val="22"/>
        </w:rPr>
        <w:t xml:space="preserve"> policymakers in Washington</w:t>
      </w:r>
      <w:r w:rsidR="10E61326" w:rsidRPr="4910B519">
        <w:rPr>
          <w:rFonts w:asciiTheme="minorHAnsi" w:hAnsiTheme="minorHAnsi"/>
          <w:sz w:val="22"/>
        </w:rPr>
        <w:t>, D.C.</w:t>
      </w:r>
      <w:r w:rsidR="00CC222B">
        <w:rPr>
          <w:rFonts w:asciiTheme="minorHAnsi" w:hAnsiTheme="minorHAnsi"/>
          <w:sz w:val="22"/>
        </w:rPr>
        <w:t>,</w:t>
      </w:r>
      <w:r w:rsidR="471D6305" w:rsidRPr="6028A3D8">
        <w:rPr>
          <w:rFonts w:asciiTheme="minorHAnsi" w:hAnsiTheme="minorHAnsi"/>
          <w:sz w:val="22"/>
        </w:rPr>
        <w:t xml:space="preserve"> and </w:t>
      </w:r>
      <w:r w:rsidR="471D6305" w:rsidRPr="6028A3D8">
        <w:rPr>
          <w:rFonts w:asciiTheme="minorHAnsi" w:hAnsiTheme="minorHAnsi"/>
          <w:b/>
          <w:bCs/>
          <w:sz w:val="22"/>
        </w:rPr>
        <w:t xml:space="preserve">[STATE CAPITAL] </w:t>
      </w:r>
      <w:r w:rsidR="471D6305" w:rsidRPr="6028A3D8">
        <w:rPr>
          <w:rFonts w:asciiTheme="minorHAnsi" w:hAnsiTheme="minorHAnsi"/>
          <w:sz w:val="22"/>
        </w:rPr>
        <w:t xml:space="preserve">to respond </w:t>
      </w:r>
      <w:r w:rsidR="280CEBC9" w:rsidRPr="6028A3D8">
        <w:rPr>
          <w:rFonts w:asciiTheme="minorHAnsi" w:hAnsiTheme="minorHAnsi"/>
          <w:sz w:val="22"/>
        </w:rPr>
        <w:t>to</w:t>
      </w:r>
      <w:r w:rsidR="471D6305" w:rsidRPr="6028A3D8">
        <w:rPr>
          <w:rFonts w:asciiTheme="minorHAnsi" w:hAnsiTheme="minorHAnsi"/>
          <w:sz w:val="22"/>
        </w:rPr>
        <w:t xml:space="preserve"> this growing trend.</w:t>
      </w:r>
    </w:p>
    <w:p w14:paraId="29462419" w14:textId="5A18E5D9" w:rsidR="009F737E" w:rsidRDefault="009F737E" w:rsidP="00F45934">
      <w:pPr>
        <w:rPr>
          <w:rFonts w:asciiTheme="minorHAnsi" w:hAnsiTheme="minorHAnsi" w:cstheme="minorHAnsi"/>
          <w:sz w:val="22"/>
        </w:rPr>
      </w:pPr>
    </w:p>
    <w:p w14:paraId="30D34E0B" w14:textId="3F052D03" w:rsidR="003466E8" w:rsidRPr="00BD1820" w:rsidRDefault="00D35505" w:rsidP="6028A3D8">
      <w:pPr>
        <w:rPr>
          <w:rFonts w:asciiTheme="minorHAnsi" w:hAnsiTheme="minorHAnsi"/>
          <w:b/>
          <w:bCs/>
          <w:sz w:val="22"/>
        </w:rPr>
      </w:pPr>
      <w:r w:rsidRPr="6028A3D8">
        <w:rPr>
          <w:rFonts w:asciiTheme="minorHAnsi" w:hAnsiTheme="minorHAnsi"/>
          <w:b/>
          <w:bCs/>
          <w:sz w:val="22"/>
        </w:rPr>
        <w:t xml:space="preserve">Acquisitions expand </w:t>
      </w:r>
      <w:r w:rsidR="004C6086">
        <w:rPr>
          <w:rFonts w:asciiTheme="minorHAnsi" w:hAnsiTheme="minorHAnsi"/>
          <w:b/>
          <w:bCs/>
          <w:sz w:val="22"/>
        </w:rPr>
        <w:t>costly</w:t>
      </w:r>
      <w:r w:rsidR="03464776" w:rsidRPr="6028A3D8">
        <w:rPr>
          <w:rFonts w:asciiTheme="minorHAnsi" w:hAnsiTheme="minorHAnsi"/>
          <w:b/>
          <w:bCs/>
          <w:sz w:val="22"/>
        </w:rPr>
        <w:t xml:space="preserve"> credit union </w:t>
      </w:r>
      <w:r w:rsidRPr="6028A3D8">
        <w:rPr>
          <w:rFonts w:asciiTheme="minorHAnsi" w:hAnsiTheme="minorHAnsi"/>
          <w:b/>
          <w:bCs/>
          <w:sz w:val="22"/>
        </w:rPr>
        <w:t>tax exemption</w:t>
      </w:r>
      <w:r w:rsidR="0036184A" w:rsidRPr="6028A3D8">
        <w:rPr>
          <w:rFonts w:asciiTheme="minorHAnsi" w:hAnsiTheme="minorHAnsi"/>
          <w:b/>
          <w:bCs/>
          <w:sz w:val="22"/>
        </w:rPr>
        <w:t xml:space="preserve"> </w:t>
      </w:r>
    </w:p>
    <w:p w14:paraId="3565CA5F" w14:textId="77777777" w:rsidR="003466E8" w:rsidRPr="00BD1820" w:rsidRDefault="003466E8" w:rsidP="5E58A983">
      <w:pPr>
        <w:rPr>
          <w:rFonts w:asciiTheme="minorHAnsi" w:hAnsiTheme="minorHAnsi" w:cstheme="minorHAnsi"/>
          <w:sz w:val="22"/>
        </w:rPr>
      </w:pPr>
    </w:p>
    <w:p w14:paraId="002D00C1" w14:textId="07DCF0A8" w:rsidR="002A1AA1" w:rsidRDefault="003466E8" w:rsidP="5E58A983">
      <w:pPr>
        <w:rPr>
          <w:rFonts w:asciiTheme="minorHAnsi" w:hAnsiTheme="minorHAnsi"/>
          <w:sz w:val="22"/>
        </w:rPr>
      </w:pPr>
      <w:r w:rsidRPr="5E58A983">
        <w:rPr>
          <w:rFonts w:asciiTheme="minorHAnsi" w:hAnsiTheme="minorHAnsi"/>
          <w:sz w:val="22"/>
        </w:rPr>
        <w:t xml:space="preserve">Credit union purchases of community banks </w:t>
      </w:r>
      <w:r w:rsidR="0C4B0D6C" w:rsidRPr="5E58A983">
        <w:rPr>
          <w:rFonts w:asciiTheme="minorHAnsi" w:hAnsiTheme="minorHAnsi"/>
          <w:sz w:val="22"/>
        </w:rPr>
        <w:t>— which peaked in 2019 and are again on the rise —</w:t>
      </w:r>
      <w:r w:rsidR="7DBD9428" w:rsidRPr="5E58A983">
        <w:rPr>
          <w:rFonts w:asciiTheme="minorHAnsi" w:hAnsiTheme="minorHAnsi"/>
          <w:sz w:val="22"/>
        </w:rPr>
        <w:t xml:space="preserve"> are</w:t>
      </w:r>
      <w:r w:rsidR="65BB1BC2" w:rsidRPr="5E58A983">
        <w:rPr>
          <w:rFonts w:asciiTheme="minorHAnsi" w:hAnsiTheme="minorHAnsi"/>
          <w:sz w:val="22"/>
        </w:rPr>
        <w:t xml:space="preserve"> </w:t>
      </w:r>
      <w:r w:rsidR="00A53A33">
        <w:rPr>
          <w:rFonts w:asciiTheme="minorHAnsi" w:hAnsiTheme="minorHAnsi"/>
          <w:sz w:val="22"/>
        </w:rPr>
        <w:t xml:space="preserve">facilitated by </w:t>
      </w:r>
      <w:r w:rsidR="007E47D3">
        <w:rPr>
          <w:rFonts w:asciiTheme="minorHAnsi" w:hAnsiTheme="minorHAnsi"/>
          <w:sz w:val="22"/>
        </w:rPr>
        <w:t>a</w:t>
      </w:r>
      <w:r w:rsidR="11B06FEA" w:rsidRPr="5E58A983">
        <w:rPr>
          <w:rFonts w:asciiTheme="minorHAnsi" w:hAnsiTheme="minorHAnsi"/>
          <w:sz w:val="22"/>
        </w:rPr>
        <w:t xml:space="preserve"> </w:t>
      </w:r>
      <w:r w:rsidR="00CA327D" w:rsidRPr="5E58A983">
        <w:rPr>
          <w:rFonts w:asciiTheme="minorHAnsi" w:hAnsiTheme="minorHAnsi"/>
          <w:sz w:val="22"/>
        </w:rPr>
        <w:t>federal</w:t>
      </w:r>
      <w:r w:rsidR="007E47D3">
        <w:rPr>
          <w:rFonts w:asciiTheme="minorHAnsi" w:hAnsiTheme="minorHAnsi"/>
          <w:sz w:val="22"/>
        </w:rPr>
        <w:t xml:space="preserve"> credit union</w:t>
      </w:r>
      <w:r w:rsidR="00CA327D" w:rsidRPr="5E58A983">
        <w:rPr>
          <w:rFonts w:asciiTheme="minorHAnsi" w:hAnsiTheme="minorHAnsi"/>
          <w:sz w:val="22"/>
        </w:rPr>
        <w:t xml:space="preserve"> </w:t>
      </w:r>
      <w:r w:rsidR="11B06FEA" w:rsidRPr="5E58A983">
        <w:rPr>
          <w:rFonts w:asciiTheme="minorHAnsi" w:hAnsiTheme="minorHAnsi"/>
          <w:sz w:val="22"/>
        </w:rPr>
        <w:t xml:space="preserve">tax exemption worth </w:t>
      </w:r>
      <w:r w:rsidR="00E2077E" w:rsidRPr="5E58A983">
        <w:rPr>
          <w:rFonts w:asciiTheme="minorHAnsi" w:hAnsiTheme="minorHAnsi"/>
          <w:sz w:val="22"/>
        </w:rPr>
        <w:t>more than</w:t>
      </w:r>
      <w:r w:rsidR="11B06FEA" w:rsidRPr="5E58A983">
        <w:rPr>
          <w:rFonts w:asciiTheme="minorHAnsi" w:hAnsiTheme="minorHAnsi"/>
          <w:sz w:val="22"/>
        </w:rPr>
        <w:t xml:space="preserve"> </w:t>
      </w:r>
      <w:hyperlink r:id="rId8">
        <w:r w:rsidR="7778B9B6" w:rsidRPr="4910B519">
          <w:rPr>
            <w:rFonts w:asciiTheme="minorHAnsi" w:hAnsiTheme="minorHAnsi"/>
            <w:sz w:val="22"/>
          </w:rPr>
          <w:t>$2 billion per year</w:t>
        </w:r>
      </w:hyperlink>
      <w:r w:rsidR="11B06FEA" w:rsidRPr="5E58A983">
        <w:rPr>
          <w:rFonts w:asciiTheme="minorHAnsi" w:hAnsiTheme="minorHAnsi"/>
          <w:sz w:val="22"/>
        </w:rPr>
        <w:t xml:space="preserve"> and </w:t>
      </w:r>
      <w:r w:rsidR="00E2077E" w:rsidRPr="5E58A983">
        <w:rPr>
          <w:rFonts w:asciiTheme="minorHAnsi" w:hAnsiTheme="minorHAnsi"/>
          <w:sz w:val="22"/>
        </w:rPr>
        <w:t>rising</w:t>
      </w:r>
      <w:r w:rsidR="11B06FEA" w:rsidRPr="5E58A983">
        <w:rPr>
          <w:rFonts w:asciiTheme="minorHAnsi" w:hAnsiTheme="minorHAnsi"/>
          <w:sz w:val="22"/>
        </w:rPr>
        <w:t>. Meanwhile,</w:t>
      </w:r>
      <w:r w:rsidR="002A1AA1" w:rsidRPr="5E58A983">
        <w:rPr>
          <w:rFonts w:asciiTheme="minorHAnsi" w:hAnsiTheme="minorHAnsi"/>
          <w:sz w:val="22"/>
        </w:rPr>
        <w:t xml:space="preserve"> </w:t>
      </w:r>
      <w:r w:rsidRPr="6028A3D8">
        <w:rPr>
          <w:rFonts w:asciiTheme="minorHAnsi" w:hAnsiTheme="minorHAnsi"/>
          <w:sz w:val="22"/>
        </w:rPr>
        <w:t>taxpaying</w:t>
      </w:r>
      <w:r w:rsidRPr="5E58A983">
        <w:rPr>
          <w:rFonts w:asciiTheme="minorHAnsi" w:hAnsiTheme="minorHAnsi"/>
          <w:sz w:val="22"/>
        </w:rPr>
        <w:t xml:space="preserve"> community banks</w:t>
      </w:r>
      <w:r w:rsidR="002A1AA1" w:rsidRPr="5E58A983">
        <w:rPr>
          <w:rFonts w:asciiTheme="minorHAnsi" w:hAnsiTheme="minorHAnsi"/>
          <w:sz w:val="22"/>
        </w:rPr>
        <w:t xml:space="preserve"> </w:t>
      </w:r>
      <w:r w:rsidRPr="5E58A983">
        <w:rPr>
          <w:rFonts w:asciiTheme="minorHAnsi" w:hAnsiTheme="minorHAnsi"/>
          <w:sz w:val="22"/>
        </w:rPr>
        <w:t xml:space="preserve">contributed </w:t>
      </w:r>
      <w:r w:rsidR="68E74A67" w:rsidRPr="5E58A983">
        <w:rPr>
          <w:rFonts w:asciiTheme="minorHAnsi" w:hAnsiTheme="minorHAnsi"/>
          <w:sz w:val="22"/>
        </w:rPr>
        <w:t>more than</w:t>
      </w:r>
      <w:r w:rsidRPr="5E58A983">
        <w:rPr>
          <w:rFonts w:asciiTheme="minorHAnsi" w:hAnsiTheme="minorHAnsi"/>
          <w:sz w:val="22"/>
        </w:rPr>
        <w:t xml:space="preserve"> $12 billion in tax revenue in 2020</w:t>
      </w:r>
      <w:r w:rsidR="17C9A77A" w:rsidRPr="5E58A983">
        <w:rPr>
          <w:rFonts w:asciiTheme="minorHAnsi" w:hAnsiTheme="minorHAnsi"/>
          <w:sz w:val="22"/>
        </w:rPr>
        <w:t>.</w:t>
      </w:r>
    </w:p>
    <w:p w14:paraId="695E880B" w14:textId="77777777" w:rsidR="002A1AA1" w:rsidRDefault="002A1AA1" w:rsidP="5E58A983">
      <w:pPr>
        <w:rPr>
          <w:rFonts w:asciiTheme="minorHAnsi" w:hAnsiTheme="minorHAnsi"/>
          <w:sz w:val="22"/>
        </w:rPr>
      </w:pPr>
    </w:p>
    <w:p w14:paraId="3EFFA9C2" w14:textId="549252F5" w:rsidR="003466E8" w:rsidRPr="00BD1820" w:rsidRDefault="003466E8" w:rsidP="6028A3D8">
      <w:pPr>
        <w:rPr>
          <w:rFonts w:asciiTheme="minorHAnsi" w:hAnsiTheme="minorHAnsi"/>
          <w:sz w:val="22"/>
        </w:rPr>
      </w:pPr>
      <w:r w:rsidRPr="6028A3D8">
        <w:rPr>
          <w:rFonts w:asciiTheme="minorHAnsi" w:hAnsiTheme="minorHAnsi"/>
          <w:sz w:val="22"/>
        </w:rPr>
        <w:t>The consequences are important to local communities</w:t>
      </w:r>
      <w:r w:rsidR="002A1AA1">
        <w:rPr>
          <w:rFonts w:asciiTheme="minorHAnsi" w:hAnsiTheme="minorHAnsi"/>
          <w:sz w:val="22"/>
        </w:rPr>
        <w:t xml:space="preserve"> like </w:t>
      </w:r>
      <w:r w:rsidR="002A1AA1" w:rsidRPr="002A1AA1">
        <w:rPr>
          <w:rFonts w:asciiTheme="minorHAnsi" w:hAnsiTheme="minorHAnsi"/>
          <w:b/>
          <w:bCs/>
          <w:sz w:val="22"/>
        </w:rPr>
        <w:t>[TOWN NAME]</w:t>
      </w:r>
      <w:r w:rsidR="006C290F">
        <w:rPr>
          <w:rFonts w:asciiTheme="minorHAnsi" w:hAnsiTheme="minorHAnsi"/>
          <w:sz w:val="22"/>
        </w:rPr>
        <w:t>, which</w:t>
      </w:r>
      <w:r w:rsidRPr="6028A3D8">
        <w:rPr>
          <w:rFonts w:asciiTheme="minorHAnsi" w:hAnsiTheme="minorHAnsi"/>
          <w:sz w:val="22"/>
        </w:rPr>
        <w:t xml:space="preserve"> rely on</w:t>
      </w:r>
      <w:r w:rsidR="4A4BF8FE" w:rsidRPr="6028A3D8">
        <w:rPr>
          <w:rFonts w:asciiTheme="minorHAnsi" w:hAnsiTheme="minorHAnsi"/>
          <w:sz w:val="22"/>
        </w:rPr>
        <w:t xml:space="preserve"> the</w:t>
      </w:r>
      <w:r w:rsidRPr="6028A3D8">
        <w:rPr>
          <w:rFonts w:asciiTheme="minorHAnsi" w:hAnsiTheme="minorHAnsi"/>
          <w:sz w:val="22"/>
        </w:rPr>
        <w:t xml:space="preserve"> tax revenues</w:t>
      </w:r>
      <w:r w:rsidR="1CB9D47F" w:rsidRPr="6028A3D8">
        <w:rPr>
          <w:rFonts w:asciiTheme="minorHAnsi" w:hAnsiTheme="minorHAnsi"/>
          <w:sz w:val="22"/>
        </w:rPr>
        <w:t xml:space="preserve"> of community banks</w:t>
      </w:r>
      <w:r w:rsidRPr="6028A3D8">
        <w:rPr>
          <w:rFonts w:asciiTheme="minorHAnsi" w:hAnsiTheme="minorHAnsi"/>
          <w:sz w:val="22"/>
        </w:rPr>
        <w:t>. While credit unions paid nothing in federal taxes in 2020, nurses, teachers, and cashiers had a total tax liability of more than $56.6 billion, $19.8 billion, and $11.8 billion, respectively. And each purchase of a community bank increases that federal tax exemption for more than $</w:t>
      </w:r>
      <w:r w:rsidR="009F10FD" w:rsidRPr="6028A3D8">
        <w:rPr>
          <w:rFonts w:asciiTheme="minorHAnsi" w:hAnsiTheme="minorHAnsi"/>
          <w:sz w:val="22"/>
        </w:rPr>
        <w:t>2</w:t>
      </w:r>
      <w:r w:rsidRPr="6028A3D8">
        <w:rPr>
          <w:rFonts w:asciiTheme="minorHAnsi" w:hAnsiTheme="minorHAnsi"/>
          <w:sz w:val="22"/>
        </w:rPr>
        <w:t xml:space="preserve"> trillion in credit union assets.</w:t>
      </w:r>
    </w:p>
    <w:p w14:paraId="3149F297" w14:textId="77777777" w:rsidR="003466E8" w:rsidRPr="00BD1820" w:rsidRDefault="003466E8" w:rsidP="5E58A983">
      <w:pPr>
        <w:rPr>
          <w:rFonts w:asciiTheme="minorHAnsi" w:hAnsiTheme="minorHAnsi" w:cstheme="minorHAnsi"/>
          <w:sz w:val="22"/>
        </w:rPr>
      </w:pPr>
    </w:p>
    <w:p w14:paraId="0FACC2B5" w14:textId="7226382C" w:rsidR="003466E8" w:rsidRDefault="33B43EA9" w:rsidP="5E58A983">
      <w:pPr>
        <w:rPr>
          <w:rFonts w:asciiTheme="minorHAnsi" w:hAnsiTheme="minorHAnsi"/>
          <w:b/>
          <w:bCs/>
          <w:sz w:val="22"/>
        </w:rPr>
      </w:pPr>
      <w:r w:rsidRPr="5E58A983">
        <w:rPr>
          <w:rFonts w:asciiTheme="minorHAnsi" w:hAnsiTheme="minorHAnsi"/>
          <w:b/>
          <w:bCs/>
          <w:sz w:val="22"/>
        </w:rPr>
        <w:t xml:space="preserve">Acquisitions restrict access to </w:t>
      </w:r>
      <w:r w:rsidR="41EB2CA7" w:rsidRPr="5E58A983">
        <w:rPr>
          <w:rFonts w:asciiTheme="minorHAnsi" w:hAnsiTheme="minorHAnsi"/>
          <w:b/>
          <w:bCs/>
          <w:sz w:val="22"/>
        </w:rPr>
        <w:t xml:space="preserve">local </w:t>
      </w:r>
      <w:r w:rsidRPr="5E58A983">
        <w:rPr>
          <w:rFonts w:asciiTheme="minorHAnsi" w:hAnsiTheme="minorHAnsi"/>
          <w:b/>
          <w:bCs/>
          <w:sz w:val="22"/>
        </w:rPr>
        <w:t>financial services</w:t>
      </w:r>
    </w:p>
    <w:p w14:paraId="07359D7B" w14:textId="77777777" w:rsidR="0063100E" w:rsidRPr="0063100E" w:rsidRDefault="0063100E" w:rsidP="5E58A983">
      <w:pPr>
        <w:rPr>
          <w:rFonts w:asciiTheme="minorHAnsi" w:hAnsiTheme="minorHAnsi" w:cstheme="minorHAnsi"/>
          <w:sz w:val="22"/>
        </w:rPr>
      </w:pPr>
    </w:p>
    <w:p w14:paraId="2A1B7E2A" w14:textId="62BB5517" w:rsidR="003466E8" w:rsidRPr="00BD1820" w:rsidRDefault="00D2764C" w:rsidP="003466E8">
      <w:pPr>
        <w:rPr>
          <w:rFonts w:asciiTheme="minorHAnsi" w:hAnsiTheme="minorHAnsi" w:cstheme="minorHAnsi"/>
          <w:sz w:val="22"/>
        </w:rPr>
      </w:pPr>
      <w:r>
        <w:rPr>
          <w:rFonts w:asciiTheme="minorHAnsi" w:hAnsiTheme="minorHAnsi" w:cstheme="minorHAnsi"/>
          <w:sz w:val="22"/>
        </w:rPr>
        <w:t>T</w:t>
      </w:r>
      <w:r w:rsidR="003466E8" w:rsidRPr="00BD1820">
        <w:rPr>
          <w:rFonts w:asciiTheme="minorHAnsi" w:hAnsiTheme="minorHAnsi" w:cstheme="minorHAnsi"/>
          <w:sz w:val="22"/>
        </w:rPr>
        <w:t>hese deals also restrict access to financial services.</w:t>
      </w:r>
      <w:r>
        <w:rPr>
          <w:rFonts w:asciiTheme="minorHAnsi" w:hAnsiTheme="minorHAnsi" w:cstheme="minorHAnsi"/>
          <w:sz w:val="22"/>
        </w:rPr>
        <w:t xml:space="preserve"> </w:t>
      </w:r>
      <w:r w:rsidR="003466E8" w:rsidRPr="00BD1820">
        <w:rPr>
          <w:rFonts w:asciiTheme="minorHAnsi" w:hAnsiTheme="minorHAnsi" w:cstheme="minorHAnsi"/>
          <w:sz w:val="22"/>
        </w:rPr>
        <w:t xml:space="preserve">For instance, </w:t>
      </w:r>
      <w:r w:rsidR="00927AB3">
        <w:rPr>
          <w:rFonts w:asciiTheme="minorHAnsi" w:hAnsiTheme="minorHAnsi" w:cstheme="minorHAnsi"/>
          <w:sz w:val="22"/>
        </w:rPr>
        <w:t>each</w:t>
      </w:r>
      <w:r w:rsidR="003466E8" w:rsidRPr="00BD1820">
        <w:rPr>
          <w:rFonts w:asciiTheme="minorHAnsi" w:hAnsiTheme="minorHAnsi" w:cstheme="minorHAnsi"/>
          <w:sz w:val="22"/>
        </w:rPr>
        <w:t xml:space="preserve"> acquisition expand</w:t>
      </w:r>
      <w:r w:rsidR="00927AB3">
        <w:rPr>
          <w:rFonts w:asciiTheme="minorHAnsi" w:hAnsiTheme="minorHAnsi" w:cstheme="minorHAnsi"/>
          <w:sz w:val="22"/>
        </w:rPr>
        <w:t>s</w:t>
      </w:r>
      <w:r w:rsidR="003466E8" w:rsidRPr="00BD1820">
        <w:rPr>
          <w:rFonts w:asciiTheme="minorHAnsi" w:hAnsiTheme="minorHAnsi" w:cstheme="minorHAnsi"/>
          <w:sz w:val="22"/>
        </w:rPr>
        <w:t xml:space="preserve"> the portion of the financial services industry exempt from the Community Reinvestment Act. This law requires financial institutions to lend to low- and moderate-income consumers and small businesses in their local market, but it does not apply to credit unions.</w:t>
      </w:r>
    </w:p>
    <w:p w14:paraId="7BC3E699" w14:textId="77777777" w:rsidR="003466E8" w:rsidRPr="00BD1820" w:rsidRDefault="003466E8" w:rsidP="003466E8">
      <w:pPr>
        <w:rPr>
          <w:rFonts w:asciiTheme="minorHAnsi" w:hAnsiTheme="minorHAnsi" w:cstheme="minorHAnsi"/>
          <w:sz w:val="22"/>
        </w:rPr>
      </w:pPr>
    </w:p>
    <w:p w14:paraId="25727784" w14:textId="061028BD" w:rsidR="003466E8" w:rsidRPr="00BD1820" w:rsidRDefault="003466E8" w:rsidP="003466E8">
      <w:pPr>
        <w:rPr>
          <w:rFonts w:asciiTheme="minorHAnsi" w:hAnsiTheme="minorHAnsi"/>
          <w:sz w:val="22"/>
        </w:rPr>
      </w:pPr>
      <w:r w:rsidRPr="4910B519">
        <w:rPr>
          <w:rFonts w:asciiTheme="minorHAnsi" w:hAnsiTheme="minorHAnsi"/>
          <w:sz w:val="22"/>
        </w:rPr>
        <w:t>Further, these deals risk displacing a critical provider of capital to small businesses. The nation’s community banks account for roughly 60% of U.S. small-business loans and made 60% of federal Paycheck Protection Program loans to save an estimated 49 million jobs during the pandemic — outpacing credit union PPP lending by a factor of 16 to 1.</w:t>
      </w:r>
    </w:p>
    <w:p w14:paraId="335FC737" w14:textId="77777777" w:rsidR="003466E8" w:rsidRPr="00BD1820" w:rsidRDefault="003466E8" w:rsidP="5E58A983">
      <w:pPr>
        <w:rPr>
          <w:rFonts w:asciiTheme="minorHAnsi" w:hAnsiTheme="minorHAnsi" w:cstheme="minorHAnsi"/>
          <w:sz w:val="22"/>
        </w:rPr>
      </w:pPr>
    </w:p>
    <w:p w14:paraId="3F6ACD30" w14:textId="292281AF" w:rsidR="38BA0098" w:rsidRDefault="38BA0098" w:rsidP="6028A3D8">
      <w:pPr>
        <w:rPr>
          <w:rFonts w:asciiTheme="minorHAnsi" w:hAnsiTheme="minorHAnsi"/>
          <w:b/>
          <w:bCs/>
          <w:sz w:val="22"/>
        </w:rPr>
      </w:pPr>
      <w:r w:rsidRPr="6028A3D8">
        <w:rPr>
          <w:rFonts w:asciiTheme="minorHAnsi" w:hAnsiTheme="minorHAnsi"/>
          <w:b/>
          <w:bCs/>
          <w:sz w:val="22"/>
        </w:rPr>
        <w:t xml:space="preserve">Acquisitions lack transparency </w:t>
      </w:r>
    </w:p>
    <w:p w14:paraId="780271E6" w14:textId="4CDFED40" w:rsidR="6028A3D8" w:rsidRPr="0063100E" w:rsidRDefault="6028A3D8" w:rsidP="6028A3D8">
      <w:pPr>
        <w:rPr>
          <w:rFonts w:asciiTheme="minorHAnsi" w:hAnsiTheme="minorHAnsi"/>
          <w:b/>
          <w:bCs/>
          <w:sz w:val="22"/>
        </w:rPr>
      </w:pPr>
    </w:p>
    <w:p w14:paraId="7C6A4EA9" w14:textId="77777777" w:rsidR="003466E8" w:rsidRPr="00BD1820" w:rsidRDefault="003466E8" w:rsidP="003466E8">
      <w:pPr>
        <w:rPr>
          <w:rFonts w:asciiTheme="minorHAnsi" w:hAnsiTheme="minorHAnsi" w:cstheme="minorHAnsi"/>
          <w:sz w:val="22"/>
        </w:rPr>
      </w:pPr>
      <w:r w:rsidRPr="00BD1820">
        <w:rPr>
          <w:rFonts w:asciiTheme="minorHAnsi" w:hAnsiTheme="minorHAnsi" w:cstheme="minorHAnsi"/>
          <w:sz w:val="22"/>
        </w:rPr>
        <w:t xml:space="preserve">Finally, these acquisitions </w:t>
      </w:r>
      <w:hyperlink r:id="rId9" w:history="1">
        <w:r w:rsidRPr="00BD1820">
          <w:rPr>
            <w:rStyle w:val="Hyperlink"/>
            <w:rFonts w:asciiTheme="minorHAnsi" w:hAnsiTheme="minorHAnsi" w:cstheme="minorHAnsi"/>
            <w:sz w:val="22"/>
          </w:rPr>
          <w:t>lack transparency</w:t>
        </w:r>
      </w:hyperlink>
      <w:r w:rsidRPr="00BD1820">
        <w:rPr>
          <w:rFonts w:asciiTheme="minorHAnsi" w:hAnsiTheme="minorHAnsi" w:cstheme="minorHAnsi"/>
          <w:sz w:val="22"/>
        </w:rPr>
        <w:t>, with credit union executives using their members’ savings to buy out bank owners in largely private deals. In fact, credit unions can leverage the savings from their tax exemption to make inflated offers for healthy institutions.</w:t>
      </w:r>
    </w:p>
    <w:p w14:paraId="1558A6C1" w14:textId="77777777" w:rsidR="003466E8" w:rsidRPr="00BD1820" w:rsidRDefault="003466E8" w:rsidP="003466E8">
      <w:pPr>
        <w:rPr>
          <w:rFonts w:asciiTheme="minorHAnsi" w:hAnsiTheme="minorHAnsi" w:cstheme="minorHAnsi"/>
          <w:sz w:val="22"/>
        </w:rPr>
      </w:pPr>
    </w:p>
    <w:p w14:paraId="0501E93F" w14:textId="77777777" w:rsidR="003466E8" w:rsidRPr="00BD1820" w:rsidRDefault="003466E8" w:rsidP="003466E8">
      <w:pPr>
        <w:rPr>
          <w:rFonts w:asciiTheme="minorHAnsi" w:hAnsiTheme="minorHAnsi" w:cstheme="minorHAnsi"/>
          <w:sz w:val="22"/>
        </w:rPr>
      </w:pPr>
      <w:r w:rsidRPr="00BD1820">
        <w:rPr>
          <w:rFonts w:asciiTheme="minorHAnsi" w:hAnsiTheme="minorHAnsi" w:cstheme="minorHAnsi"/>
          <w:sz w:val="22"/>
        </w:rPr>
        <w:t>Credit unions were established a century ago to serve people of modest means with a common bond, but the data show they are falling short of that mission. Community banks outnumber credit unions by a 2-1 margin in low-income or distressed communities and are more likely to lend in census tracts with above-average poverty and unemployment</w:t>
      </w:r>
      <w:r>
        <w:rPr>
          <w:rFonts w:asciiTheme="minorHAnsi" w:hAnsiTheme="minorHAnsi" w:cstheme="minorHAnsi"/>
          <w:sz w:val="22"/>
        </w:rPr>
        <w:t xml:space="preserve">, </w:t>
      </w:r>
      <w:r w:rsidRPr="004D31A2">
        <w:rPr>
          <w:rFonts w:asciiTheme="minorHAnsi" w:hAnsiTheme="minorHAnsi" w:cstheme="minorHAnsi"/>
          <w:sz w:val="22"/>
        </w:rPr>
        <w:t>according to Home Mortgage Disclosure Act data</w:t>
      </w:r>
      <w:r>
        <w:rPr>
          <w:rFonts w:asciiTheme="minorHAnsi" w:hAnsiTheme="minorHAnsi" w:cstheme="minorHAnsi"/>
          <w:sz w:val="22"/>
        </w:rPr>
        <w:t>.</w:t>
      </w:r>
    </w:p>
    <w:p w14:paraId="355DD307" w14:textId="77777777" w:rsidR="003466E8" w:rsidRPr="00BD1820" w:rsidRDefault="003466E8" w:rsidP="003466E8">
      <w:pPr>
        <w:rPr>
          <w:rFonts w:asciiTheme="minorHAnsi" w:hAnsiTheme="minorHAnsi" w:cstheme="minorHAnsi"/>
          <w:sz w:val="22"/>
        </w:rPr>
      </w:pPr>
    </w:p>
    <w:p w14:paraId="58FF2E1A" w14:textId="211FCFC8" w:rsidR="005C46D7" w:rsidRPr="00BD1820" w:rsidRDefault="003466E8" w:rsidP="003466E8">
      <w:pPr>
        <w:contextualSpacing/>
        <w:rPr>
          <w:rFonts w:asciiTheme="minorHAnsi" w:hAnsiTheme="minorHAnsi" w:cstheme="minorHAnsi"/>
          <w:sz w:val="22"/>
        </w:rPr>
      </w:pPr>
      <w:r w:rsidRPr="00BD1820">
        <w:rPr>
          <w:rFonts w:asciiTheme="minorHAnsi" w:hAnsiTheme="minorHAnsi" w:cstheme="minorHAnsi"/>
          <w:sz w:val="22"/>
        </w:rPr>
        <w:t xml:space="preserve">Ultimately, consolidation reduces the availability of locally based financial institutions, including the traditional credit unions that are declining while larger credit unions expand. Credit unions in every </w:t>
      </w:r>
      <w:r w:rsidRPr="00BD1820">
        <w:rPr>
          <w:rFonts w:asciiTheme="minorHAnsi" w:hAnsiTheme="minorHAnsi" w:cstheme="minorHAnsi"/>
          <w:sz w:val="22"/>
        </w:rPr>
        <w:lastRenderedPageBreak/>
        <w:t xml:space="preserve">asset category under $500 million </w:t>
      </w:r>
      <w:hyperlink r:id="rId10" w:history="1">
        <w:r w:rsidRPr="00BD1820">
          <w:rPr>
            <w:rStyle w:val="Hyperlink"/>
            <w:rFonts w:asciiTheme="minorHAnsi" w:hAnsiTheme="minorHAnsi" w:cstheme="minorHAnsi"/>
            <w:sz w:val="22"/>
          </w:rPr>
          <w:t>lost</w:t>
        </w:r>
      </w:hyperlink>
      <w:r w:rsidRPr="00BD1820">
        <w:rPr>
          <w:rFonts w:asciiTheme="minorHAnsi" w:hAnsiTheme="minorHAnsi" w:cstheme="minorHAnsi"/>
          <w:sz w:val="22"/>
        </w:rPr>
        <w:t xml:space="preserve"> members and loans in 2020, while those over $1 billion </w:t>
      </w:r>
      <w:hyperlink r:id="rId11" w:history="1">
        <w:r w:rsidRPr="00CA39C9">
          <w:rPr>
            <w:rStyle w:val="Hyperlink"/>
            <w:rFonts w:asciiTheme="minorHAnsi" w:hAnsiTheme="minorHAnsi" w:cstheme="minorHAnsi"/>
            <w:sz w:val="22"/>
          </w:rPr>
          <w:t>comprise</w:t>
        </w:r>
      </w:hyperlink>
      <w:r w:rsidRPr="00BD1820">
        <w:rPr>
          <w:rFonts w:asciiTheme="minorHAnsi" w:hAnsiTheme="minorHAnsi" w:cstheme="minorHAnsi"/>
          <w:sz w:val="22"/>
        </w:rPr>
        <w:t xml:space="preserve"> </w:t>
      </w:r>
      <w:r w:rsidR="00CA39C9">
        <w:rPr>
          <w:rFonts w:asciiTheme="minorHAnsi" w:hAnsiTheme="minorHAnsi" w:cstheme="minorHAnsi"/>
          <w:sz w:val="22"/>
        </w:rPr>
        <w:t>8</w:t>
      </w:r>
      <w:r w:rsidRPr="00BD1820">
        <w:rPr>
          <w:rFonts w:asciiTheme="minorHAnsi" w:hAnsiTheme="minorHAnsi" w:cstheme="minorHAnsi"/>
          <w:sz w:val="22"/>
        </w:rPr>
        <w:t>% of the industry but 7</w:t>
      </w:r>
      <w:r w:rsidR="00CA39C9">
        <w:rPr>
          <w:rFonts w:asciiTheme="minorHAnsi" w:hAnsiTheme="minorHAnsi" w:cstheme="minorHAnsi"/>
          <w:sz w:val="22"/>
        </w:rPr>
        <w:t>4</w:t>
      </w:r>
      <w:r w:rsidRPr="00BD1820">
        <w:rPr>
          <w:rFonts w:asciiTheme="minorHAnsi" w:hAnsiTheme="minorHAnsi" w:cstheme="minorHAnsi"/>
          <w:sz w:val="22"/>
        </w:rPr>
        <w:t>% of its tax exemption.</w:t>
      </w:r>
    </w:p>
    <w:p w14:paraId="18FFABCB" w14:textId="6A5306ED" w:rsidR="003466E8" w:rsidRPr="00BD1820" w:rsidRDefault="003466E8" w:rsidP="003466E8">
      <w:pPr>
        <w:contextualSpacing/>
        <w:rPr>
          <w:rFonts w:asciiTheme="minorHAnsi" w:hAnsiTheme="minorHAnsi" w:cstheme="minorHAnsi"/>
          <w:sz w:val="22"/>
        </w:rPr>
      </w:pPr>
    </w:p>
    <w:p w14:paraId="236E3CBA" w14:textId="006E51F2" w:rsidR="003466E8" w:rsidRPr="00BD1820" w:rsidRDefault="12C3E585" w:rsidP="6028A3D8">
      <w:pPr>
        <w:contextualSpacing/>
        <w:rPr>
          <w:rFonts w:asciiTheme="minorHAnsi" w:hAnsiTheme="minorHAnsi"/>
          <w:b/>
          <w:bCs/>
          <w:sz w:val="22"/>
        </w:rPr>
      </w:pPr>
      <w:r w:rsidRPr="6028A3D8">
        <w:rPr>
          <w:rFonts w:asciiTheme="minorHAnsi" w:hAnsiTheme="minorHAnsi"/>
          <w:b/>
          <w:bCs/>
          <w:sz w:val="22"/>
        </w:rPr>
        <w:t>F</w:t>
      </w:r>
      <w:r w:rsidR="009E5A9E" w:rsidRPr="6028A3D8">
        <w:rPr>
          <w:rFonts w:asciiTheme="minorHAnsi" w:hAnsiTheme="minorHAnsi"/>
          <w:b/>
          <w:bCs/>
          <w:sz w:val="22"/>
        </w:rPr>
        <w:t>ederal action</w:t>
      </w:r>
      <w:r w:rsidR="1CA74DF6" w:rsidRPr="6028A3D8">
        <w:rPr>
          <w:rFonts w:asciiTheme="minorHAnsi" w:hAnsiTheme="minorHAnsi"/>
          <w:b/>
          <w:bCs/>
          <w:sz w:val="22"/>
        </w:rPr>
        <w:t xml:space="preserve"> is needed now</w:t>
      </w:r>
    </w:p>
    <w:p w14:paraId="571C64F7" w14:textId="77777777" w:rsidR="003466E8" w:rsidRDefault="003466E8" w:rsidP="003466E8">
      <w:pPr>
        <w:contextualSpacing/>
        <w:rPr>
          <w:rFonts w:asciiTheme="minorHAnsi" w:hAnsiTheme="minorHAnsi" w:cstheme="minorHAnsi"/>
          <w:sz w:val="22"/>
        </w:rPr>
      </w:pPr>
    </w:p>
    <w:p w14:paraId="6383A1BD" w14:textId="77777777" w:rsidR="003B38D1" w:rsidRPr="00985EFD" w:rsidRDefault="003B38D1" w:rsidP="003B38D1">
      <w:pPr>
        <w:rPr>
          <w:rFonts w:asciiTheme="minorHAnsi" w:hAnsiTheme="minorHAnsi" w:cstheme="minorHAnsi"/>
          <w:sz w:val="22"/>
        </w:rPr>
      </w:pPr>
      <w:r w:rsidRPr="00BD1820">
        <w:rPr>
          <w:rFonts w:asciiTheme="minorHAnsi" w:hAnsiTheme="minorHAnsi" w:cstheme="minorHAnsi"/>
          <w:sz w:val="22"/>
        </w:rPr>
        <w:t xml:space="preserve">To counter the negative impact of these deals, policymakers in several states have begun responding. Mississippi enacted a </w:t>
      </w:r>
      <w:hyperlink r:id="rId12">
        <w:r w:rsidRPr="00BD1820">
          <w:rPr>
            <w:rStyle w:val="Hyperlink"/>
            <w:rFonts w:asciiTheme="minorHAnsi" w:hAnsiTheme="minorHAnsi" w:cstheme="minorHAnsi"/>
            <w:sz w:val="22"/>
          </w:rPr>
          <w:t>law</w:t>
        </w:r>
      </w:hyperlink>
      <w:r w:rsidRPr="00BD1820">
        <w:rPr>
          <w:rFonts w:asciiTheme="minorHAnsi" w:hAnsiTheme="minorHAnsi" w:cstheme="minorHAnsi"/>
          <w:sz w:val="22"/>
        </w:rPr>
        <w:t xml:space="preserve"> requiring acquired bank assets to remain under the control of an FDIC-insured institution. The Nebraska banking department separately </w:t>
      </w:r>
      <w:hyperlink r:id="rId13">
        <w:r w:rsidRPr="00BD1820">
          <w:rPr>
            <w:rStyle w:val="Hyperlink"/>
            <w:rFonts w:asciiTheme="minorHAnsi" w:hAnsiTheme="minorHAnsi" w:cstheme="minorHAnsi"/>
            <w:sz w:val="22"/>
          </w:rPr>
          <w:t>ruled</w:t>
        </w:r>
      </w:hyperlink>
      <w:r w:rsidRPr="00BD1820">
        <w:rPr>
          <w:rFonts w:asciiTheme="minorHAnsi" w:hAnsiTheme="minorHAnsi" w:cstheme="minorHAnsi"/>
          <w:sz w:val="22"/>
        </w:rPr>
        <w:t xml:space="preserve"> that out-of-state credit union</w:t>
      </w:r>
      <w:r>
        <w:rPr>
          <w:rFonts w:asciiTheme="minorHAnsi" w:hAnsiTheme="minorHAnsi" w:cstheme="minorHAnsi"/>
          <w:sz w:val="22"/>
        </w:rPr>
        <w:t xml:space="preserve">s may not acquire the state’s banks. </w:t>
      </w:r>
      <w:r w:rsidRPr="00BD1820">
        <w:rPr>
          <w:rFonts w:asciiTheme="minorHAnsi" w:hAnsiTheme="minorHAnsi" w:cstheme="minorHAnsi"/>
          <w:sz w:val="22"/>
        </w:rPr>
        <w:t xml:space="preserve">And </w:t>
      </w:r>
      <w:r w:rsidRPr="00BD1820">
        <w:rPr>
          <w:rFonts w:asciiTheme="minorHAnsi" w:eastAsia="Tahoma" w:hAnsiTheme="minorHAnsi" w:cstheme="minorHAnsi"/>
          <w:color w:val="000000" w:themeColor="text1"/>
          <w:sz w:val="22"/>
        </w:rPr>
        <w:t xml:space="preserve">Colorado state lawmakers voted down </w:t>
      </w:r>
      <w:hyperlink r:id="rId14" w:history="1">
        <w:r w:rsidRPr="00BD1820">
          <w:rPr>
            <w:rStyle w:val="Hyperlink"/>
            <w:rFonts w:asciiTheme="minorHAnsi" w:eastAsia="Tahoma" w:hAnsiTheme="minorHAnsi" w:cstheme="minorHAnsi"/>
            <w:sz w:val="22"/>
          </w:rPr>
          <w:t>legislation</w:t>
        </w:r>
      </w:hyperlink>
      <w:r w:rsidRPr="00BD1820">
        <w:rPr>
          <w:rFonts w:asciiTheme="minorHAnsi" w:eastAsia="Tahoma" w:hAnsiTheme="minorHAnsi" w:cstheme="minorHAnsi"/>
          <w:color w:val="000000" w:themeColor="text1"/>
          <w:sz w:val="22"/>
        </w:rPr>
        <w:t xml:space="preserve"> to allow credit unions to hold municipal deposits and other public funds.</w:t>
      </w:r>
    </w:p>
    <w:p w14:paraId="70E38548" w14:textId="77777777" w:rsidR="003B38D1" w:rsidRPr="00BD1820" w:rsidRDefault="003B38D1" w:rsidP="003466E8">
      <w:pPr>
        <w:contextualSpacing/>
        <w:rPr>
          <w:rFonts w:asciiTheme="minorHAnsi" w:hAnsiTheme="minorHAnsi" w:cstheme="minorHAnsi"/>
          <w:sz w:val="22"/>
        </w:rPr>
      </w:pPr>
    </w:p>
    <w:p w14:paraId="775A36D0" w14:textId="741F5F4F" w:rsidR="003466E8" w:rsidRDefault="003466E8" w:rsidP="003466E8">
      <w:pPr>
        <w:contextualSpacing/>
        <w:rPr>
          <w:rFonts w:asciiTheme="minorHAnsi" w:hAnsiTheme="minorHAnsi" w:cstheme="minorHAnsi"/>
          <w:sz w:val="22"/>
        </w:rPr>
      </w:pPr>
      <w:r w:rsidRPr="00BD1820">
        <w:rPr>
          <w:rFonts w:asciiTheme="minorHAnsi" w:hAnsiTheme="minorHAnsi" w:cstheme="minorHAnsi"/>
          <w:sz w:val="22"/>
        </w:rPr>
        <w:t xml:space="preserve">While states have started to respond, this is a matter of national importance, and taxpayers are entitled to know more about how the subsidy they fund is being used to underwrite financial services consolidation. Congress should respond by </w:t>
      </w:r>
      <w:hyperlink r:id="rId15">
        <w:r w:rsidRPr="00BD1820">
          <w:rPr>
            <w:rStyle w:val="Hyperlink"/>
            <w:rFonts w:asciiTheme="minorHAnsi" w:hAnsiTheme="minorHAnsi" w:cstheme="minorHAnsi"/>
            <w:sz w:val="22"/>
          </w:rPr>
          <w:t>holding hearings</w:t>
        </w:r>
      </w:hyperlink>
      <w:r w:rsidRPr="00BD1820">
        <w:rPr>
          <w:rFonts w:asciiTheme="minorHAnsi" w:hAnsiTheme="minorHAnsi" w:cstheme="minorHAnsi"/>
          <w:sz w:val="22"/>
        </w:rPr>
        <w:t xml:space="preserve">, </w:t>
      </w:r>
      <w:hyperlink r:id="rId16">
        <w:r w:rsidRPr="00BD1820">
          <w:rPr>
            <w:rStyle w:val="Hyperlink"/>
            <w:rFonts w:asciiTheme="minorHAnsi" w:hAnsiTheme="minorHAnsi" w:cstheme="minorHAnsi"/>
            <w:sz w:val="22"/>
          </w:rPr>
          <w:t>requesting</w:t>
        </w:r>
      </w:hyperlink>
      <w:r w:rsidRPr="00BD1820">
        <w:rPr>
          <w:rFonts w:asciiTheme="minorHAnsi" w:hAnsiTheme="minorHAnsi" w:cstheme="minorHAnsi"/>
          <w:sz w:val="22"/>
        </w:rPr>
        <w:t xml:space="preserve"> a Government Accountability Office study on the credit union industry, and </w:t>
      </w:r>
      <w:r w:rsidR="00A66E04">
        <w:rPr>
          <w:rFonts w:asciiTheme="minorHAnsi" w:hAnsiTheme="minorHAnsi" w:cstheme="minorHAnsi"/>
          <w:sz w:val="22"/>
        </w:rPr>
        <w:t xml:space="preserve">implementing </w:t>
      </w:r>
      <w:r w:rsidRPr="00BD1820">
        <w:rPr>
          <w:rFonts w:asciiTheme="minorHAnsi" w:hAnsiTheme="minorHAnsi" w:cstheme="minorHAnsi"/>
          <w:sz w:val="22"/>
        </w:rPr>
        <w:t xml:space="preserve">an </w:t>
      </w:r>
      <w:hyperlink r:id="rId17" w:history="1">
        <w:r w:rsidRPr="00BD1820">
          <w:rPr>
            <w:rStyle w:val="Hyperlink"/>
            <w:rFonts w:asciiTheme="minorHAnsi" w:hAnsiTheme="minorHAnsi" w:cstheme="minorHAnsi"/>
            <w:sz w:val="22"/>
          </w:rPr>
          <w:t>“exit fee”</w:t>
        </w:r>
      </w:hyperlink>
      <w:r w:rsidRPr="00BD1820">
        <w:rPr>
          <w:rFonts w:asciiTheme="minorHAnsi" w:hAnsiTheme="minorHAnsi" w:cstheme="minorHAnsi"/>
          <w:sz w:val="22"/>
        </w:rPr>
        <w:t xml:space="preserve"> on these acquisitions to capture the value of the tax revenue lost once the acquired bank’s business activity becomes tax-exempt.</w:t>
      </w:r>
    </w:p>
    <w:p w14:paraId="5AF5B6A8" w14:textId="77777777" w:rsidR="003466E8" w:rsidRDefault="003466E8" w:rsidP="003466E8">
      <w:pPr>
        <w:contextualSpacing/>
        <w:rPr>
          <w:rFonts w:asciiTheme="minorHAnsi" w:hAnsiTheme="minorHAnsi" w:cstheme="minorHAnsi"/>
          <w:sz w:val="22"/>
        </w:rPr>
      </w:pPr>
    </w:p>
    <w:p w14:paraId="562368B9" w14:textId="77777777" w:rsidR="003466E8" w:rsidRPr="003D6B02" w:rsidRDefault="003466E8" w:rsidP="003466E8">
      <w:pPr>
        <w:rPr>
          <w:rFonts w:asciiTheme="minorHAnsi" w:hAnsiTheme="minorHAnsi" w:cstheme="minorHAnsi"/>
          <w:sz w:val="22"/>
        </w:rPr>
      </w:pPr>
      <w:r w:rsidRPr="00BD1820">
        <w:rPr>
          <w:rFonts w:asciiTheme="minorHAnsi" w:hAnsiTheme="minorHAnsi" w:cstheme="minorHAnsi"/>
          <w:sz w:val="22"/>
        </w:rPr>
        <w:t>There is precedent for reconsidering a financial services tax exemption. In 1951, Congress revoked the tax exemption for building and loan associations, cooperative</w:t>
      </w:r>
      <w:r w:rsidRPr="003D6B02">
        <w:rPr>
          <w:rFonts w:asciiTheme="minorHAnsi" w:hAnsiTheme="minorHAnsi" w:cstheme="minorHAnsi"/>
          <w:sz w:val="22"/>
        </w:rPr>
        <w:t xml:space="preserve"> banks, and mutual savings banks, finding that these institutions operated much like commercial banks and should be taxed accordingly.</w:t>
      </w:r>
    </w:p>
    <w:p w14:paraId="27755C9F" w14:textId="77777777" w:rsidR="003466E8" w:rsidRPr="003D6B02" w:rsidRDefault="003466E8" w:rsidP="003466E8">
      <w:pPr>
        <w:rPr>
          <w:rFonts w:asciiTheme="minorHAnsi" w:hAnsiTheme="minorHAnsi" w:cstheme="minorHAnsi"/>
          <w:sz w:val="22"/>
        </w:rPr>
      </w:pPr>
    </w:p>
    <w:p w14:paraId="5C6F0A50" w14:textId="0978FAB6" w:rsidR="003466E8" w:rsidRPr="003D6B02" w:rsidRDefault="003466E8" w:rsidP="003466E8">
      <w:pPr>
        <w:rPr>
          <w:rFonts w:asciiTheme="minorHAnsi" w:hAnsiTheme="minorHAnsi" w:cstheme="minorHAnsi"/>
          <w:sz w:val="22"/>
        </w:rPr>
      </w:pPr>
      <w:r w:rsidRPr="003D6B02">
        <w:rPr>
          <w:rFonts w:asciiTheme="minorHAnsi" w:hAnsiTheme="minorHAnsi" w:cstheme="minorHAnsi"/>
          <w:sz w:val="22"/>
        </w:rPr>
        <w:t xml:space="preserve">As credit union banking acquisitions continue, </w:t>
      </w:r>
      <w:r>
        <w:rPr>
          <w:rFonts w:asciiTheme="minorHAnsi" w:hAnsiTheme="minorHAnsi" w:cstheme="minorHAnsi"/>
          <w:sz w:val="22"/>
        </w:rPr>
        <w:t xml:space="preserve">policymakers in Washington </w:t>
      </w:r>
      <w:r w:rsidR="009327C3" w:rsidRPr="004D31A2">
        <w:rPr>
          <w:rFonts w:asciiTheme="minorHAnsi" w:hAnsiTheme="minorHAnsi" w:cstheme="minorHAnsi"/>
          <w:sz w:val="22"/>
        </w:rPr>
        <w:t xml:space="preserve">and </w:t>
      </w:r>
      <w:r w:rsidR="009327C3" w:rsidRPr="004D31A2">
        <w:rPr>
          <w:rFonts w:asciiTheme="minorHAnsi" w:hAnsiTheme="minorHAnsi" w:cstheme="minorHAnsi"/>
          <w:b/>
          <w:bCs/>
          <w:sz w:val="22"/>
        </w:rPr>
        <w:t xml:space="preserve">[STATE CAPITAL] </w:t>
      </w:r>
      <w:r>
        <w:rPr>
          <w:rFonts w:asciiTheme="minorHAnsi" w:hAnsiTheme="minorHAnsi" w:cstheme="minorHAnsi"/>
          <w:sz w:val="22"/>
        </w:rPr>
        <w:t xml:space="preserve">should join the </w:t>
      </w:r>
      <w:r w:rsidR="009327C3">
        <w:rPr>
          <w:rFonts w:asciiTheme="minorHAnsi" w:hAnsiTheme="minorHAnsi" w:cstheme="minorHAnsi"/>
          <w:sz w:val="22"/>
        </w:rPr>
        <w:t xml:space="preserve">growing number of </w:t>
      </w:r>
      <w:r>
        <w:rPr>
          <w:rFonts w:asciiTheme="minorHAnsi" w:hAnsiTheme="minorHAnsi" w:cstheme="minorHAnsi"/>
          <w:sz w:val="22"/>
        </w:rPr>
        <w:t xml:space="preserve">states </w:t>
      </w:r>
      <w:r w:rsidRPr="003D6B02">
        <w:rPr>
          <w:rFonts w:asciiTheme="minorHAnsi" w:hAnsiTheme="minorHAnsi" w:cstheme="minorHAnsi"/>
          <w:sz w:val="22"/>
        </w:rPr>
        <w:t>investigat</w:t>
      </w:r>
      <w:r>
        <w:rPr>
          <w:rFonts w:asciiTheme="minorHAnsi" w:hAnsiTheme="minorHAnsi" w:cstheme="minorHAnsi"/>
          <w:sz w:val="22"/>
        </w:rPr>
        <w:t xml:space="preserve">ing </w:t>
      </w:r>
      <w:r w:rsidRPr="003D6B02">
        <w:rPr>
          <w:rFonts w:asciiTheme="minorHAnsi" w:hAnsiTheme="minorHAnsi" w:cstheme="minorHAnsi"/>
          <w:sz w:val="22"/>
        </w:rPr>
        <w:t xml:space="preserve">these deals and whether </w:t>
      </w:r>
      <w:r>
        <w:rPr>
          <w:rFonts w:asciiTheme="minorHAnsi" w:hAnsiTheme="minorHAnsi" w:cstheme="minorHAnsi"/>
          <w:sz w:val="22"/>
        </w:rPr>
        <w:t>government policy should continue supporting</w:t>
      </w:r>
      <w:r w:rsidRPr="003D6B02">
        <w:rPr>
          <w:rFonts w:asciiTheme="minorHAnsi" w:hAnsiTheme="minorHAnsi" w:cstheme="minorHAnsi"/>
          <w:sz w:val="22"/>
        </w:rPr>
        <w:t xml:space="preserve"> them.</w:t>
      </w:r>
    </w:p>
    <w:p w14:paraId="0836AACC" w14:textId="34431C57" w:rsidR="003466E8" w:rsidRDefault="003466E8" w:rsidP="00F45934">
      <w:pPr>
        <w:rPr>
          <w:rFonts w:asciiTheme="minorHAnsi" w:hAnsiTheme="minorHAnsi" w:cstheme="minorHAnsi"/>
          <w:sz w:val="22"/>
        </w:rPr>
      </w:pPr>
    </w:p>
    <w:p w14:paraId="1E3D9FB6" w14:textId="50B88CE8" w:rsidR="00F45934" w:rsidRPr="004D31A2" w:rsidRDefault="0082520B" w:rsidP="0082520B">
      <w:pPr>
        <w:rPr>
          <w:rFonts w:asciiTheme="minorHAnsi" w:hAnsiTheme="minorHAnsi" w:cstheme="minorHAnsi"/>
          <w:i/>
          <w:iCs/>
          <w:sz w:val="22"/>
        </w:rPr>
      </w:pPr>
      <w:r w:rsidRPr="004D31A2">
        <w:rPr>
          <w:rFonts w:asciiTheme="minorHAnsi" w:hAnsiTheme="minorHAnsi" w:cstheme="minorHAnsi"/>
          <w:b/>
          <w:bCs/>
          <w:i/>
          <w:iCs/>
          <w:sz w:val="22"/>
        </w:rPr>
        <w:t>[BANKER NAME]</w:t>
      </w:r>
      <w:r w:rsidRPr="004D31A2">
        <w:rPr>
          <w:rFonts w:asciiTheme="minorHAnsi" w:hAnsiTheme="minorHAnsi" w:cstheme="minorHAnsi"/>
          <w:i/>
          <w:iCs/>
          <w:sz w:val="22"/>
        </w:rPr>
        <w:t xml:space="preserve"> is </w:t>
      </w:r>
      <w:r w:rsidRPr="004D31A2">
        <w:rPr>
          <w:rFonts w:asciiTheme="minorHAnsi" w:hAnsiTheme="minorHAnsi" w:cstheme="minorHAnsi"/>
          <w:b/>
          <w:bCs/>
          <w:i/>
          <w:iCs/>
          <w:sz w:val="22"/>
        </w:rPr>
        <w:t>[BANKER TITLE]</w:t>
      </w:r>
      <w:r w:rsidRPr="004D31A2">
        <w:rPr>
          <w:rFonts w:asciiTheme="minorHAnsi" w:hAnsiTheme="minorHAnsi" w:cstheme="minorHAnsi"/>
          <w:i/>
          <w:iCs/>
          <w:sz w:val="22"/>
        </w:rPr>
        <w:t xml:space="preserve"> of </w:t>
      </w:r>
      <w:r w:rsidRPr="004D31A2">
        <w:rPr>
          <w:rFonts w:asciiTheme="minorHAnsi" w:hAnsiTheme="minorHAnsi" w:cstheme="minorHAnsi"/>
          <w:b/>
          <w:bCs/>
          <w:i/>
          <w:iCs/>
          <w:sz w:val="22"/>
        </w:rPr>
        <w:t>[BANK NAME]</w:t>
      </w:r>
      <w:r w:rsidRPr="004D31A2">
        <w:rPr>
          <w:rFonts w:asciiTheme="minorHAnsi" w:hAnsiTheme="minorHAnsi" w:cstheme="minorHAnsi"/>
          <w:i/>
          <w:iCs/>
          <w:sz w:val="22"/>
        </w:rPr>
        <w:t xml:space="preserve"> IN </w:t>
      </w:r>
      <w:r w:rsidRPr="004D31A2">
        <w:rPr>
          <w:rFonts w:asciiTheme="minorHAnsi" w:hAnsiTheme="minorHAnsi" w:cstheme="minorHAnsi"/>
          <w:b/>
          <w:bCs/>
          <w:i/>
          <w:iCs/>
          <w:sz w:val="22"/>
        </w:rPr>
        <w:t>[CITY, STATE]</w:t>
      </w:r>
      <w:r w:rsidRPr="004D31A2">
        <w:rPr>
          <w:rFonts w:asciiTheme="minorHAnsi" w:hAnsiTheme="minorHAnsi" w:cstheme="minorHAnsi"/>
          <w:i/>
          <w:iCs/>
          <w:sz w:val="22"/>
        </w:rPr>
        <w:t>.</w:t>
      </w:r>
    </w:p>
    <w:sectPr w:rsidR="00F45934" w:rsidRPr="004D3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61023"/>
    <w:multiLevelType w:val="hybridMultilevel"/>
    <w:tmpl w:val="789A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A2891"/>
    <w:multiLevelType w:val="hybridMultilevel"/>
    <w:tmpl w:val="170ED7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23765">
    <w:abstractNumId w:val="0"/>
  </w:num>
  <w:num w:numId="2" w16cid:durableId="1626350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34"/>
    <w:rsid w:val="000375BD"/>
    <w:rsid w:val="00052464"/>
    <w:rsid w:val="00091A10"/>
    <w:rsid w:val="00092345"/>
    <w:rsid w:val="00094956"/>
    <w:rsid w:val="00095BB2"/>
    <w:rsid w:val="000A7B7D"/>
    <w:rsid w:val="000B36AF"/>
    <w:rsid w:val="000F660E"/>
    <w:rsid w:val="00136CC3"/>
    <w:rsid w:val="00137211"/>
    <w:rsid w:val="00153243"/>
    <w:rsid w:val="00162761"/>
    <w:rsid w:val="00193C0B"/>
    <w:rsid w:val="00196A93"/>
    <w:rsid w:val="001A1A70"/>
    <w:rsid w:val="001A74F8"/>
    <w:rsid w:val="001B3BF6"/>
    <w:rsid w:val="001D3453"/>
    <w:rsid w:val="001E2ABD"/>
    <w:rsid w:val="001E3F57"/>
    <w:rsid w:val="001F157D"/>
    <w:rsid w:val="00206593"/>
    <w:rsid w:val="00215266"/>
    <w:rsid w:val="0023276D"/>
    <w:rsid w:val="00250F4C"/>
    <w:rsid w:val="00260616"/>
    <w:rsid w:val="00260B07"/>
    <w:rsid w:val="00266AE7"/>
    <w:rsid w:val="0027727C"/>
    <w:rsid w:val="002A1AA1"/>
    <w:rsid w:val="002C6AB8"/>
    <w:rsid w:val="002D2748"/>
    <w:rsid w:val="003169E7"/>
    <w:rsid w:val="003466E8"/>
    <w:rsid w:val="00352CDB"/>
    <w:rsid w:val="0036184A"/>
    <w:rsid w:val="0037684F"/>
    <w:rsid w:val="003776C0"/>
    <w:rsid w:val="003B38D1"/>
    <w:rsid w:val="003C0804"/>
    <w:rsid w:val="003D0A18"/>
    <w:rsid w:val="003D66DD"/>
    <w:rsid w:val="003E0631"/>
    <w:rsid w:val="003F59BA"/>
    <w:rsid w:val="00401AE1"/>
    <w:rsid w:val="004055E9"/>
    <w:rsid w:val="00412C6E"/>
    <w:rsid w:val="004335E6"/>
    <w:rsid w:val="00434610"/>
    <w:rsid w:val="004357D6"/>
    <w:rsid w:val="0044170B"/>
    <w:rsid w:val="00467656"/>
    <w:rsid w:val="004751C9"/>
    <w:rsid w:val="004B2F6D"/>
    <w:rsid w:val="004B5774"/>
    <w:rsid w:val="004C6086"/>
    <w:rsid w:val="004D1FDA"/>
    <w:rsid w:val="004D31A2"/>
    <w:rsid w:val="004E3882"/>
    <w:rsid w:val="0051396F"/>
    <w:rsid w:val="00517AED"/>
    <w:rsid w:val="00535C3E"/>
    <w:rsid w:val="00543DFF"/>
    <w:rsid w:val="0055493C"/>
    <w:rsid w:val="00556729"/>
    <w:rsid w:val="00562BA9"/>
    <w:rsid w:val="005708C2"/>
    <w:rsid w:val="0059080D"/>
    <w:rsid w:val="00594B54"/>
    <w:rsid w:val="0059530A"/>
    <w:rsid w:val="005A25AA"/>
    <w:rsid w:val="005B7467"/>
    <w:rsid w:val="005C1BBD"/>
    <w:rsid w:val="005C24B5"/>
    <w:rsid w:val="005C46D7"/>
    <w:rsid w:val="005E5665"/>
    <w:rsid w:val="005F0265"/>
    <w:rsid w:val="005F2E61"/>
    <w:rsid w:val="00605C9F"/>
    <w:rsid w:val="006157B3"/>
    <w:rsid w:val="00616297"/>
    <w:rsid w:val="0063100E"/>
    <w:rsid w:val="006A4BCB"/>
    <w:rsid w:val="006C290F"/>
    <w:rsid w:val="006D24E5"/>
    <w:rsid w:val="006F6D92"/>
    <w:rsid w:val="00713FBE"/>
    <w:rsid w:val="00731EC1"/>
    <w:rsid w:val="00762A77"/>
    <w:rsid w:val="0079346E"/>
    <w:rsid w:val="007C11C3"/>
    <w:rsid w:val="007D2F5D"/>
    <w:rsid w:val="007D4B6F"/>
    <w:rsid w:val="007E47D3"/>
    <w:rsid w:val="0080093C"/>
    <w:rsid w:val="0082520B"/>
    <w:rsid w:val="00835A90"/>
    <w:rsid w:val="0084016F"/>
    <w:rsid w:val="00846B74"/>
    <w:rsid w:val="008542C6"/>
    <w:rsid w:val="0086415F"/>
    <w:rsid w:val="00872B21"/>
    <w:rsid w:val="008846F1"/>
    <w:rsid w:val="00887896"/>
    <w:rsid w:val="00896A13"/>
    <w:rsid w:val="008D0D8C"/>
    <w:rsid w:val="008E028A"/>
    <w:rsid w:val="00903768"/>
    <w:rsid w:val="00927AB3"/>
    <w:rsid w:val="00931A3C"/>
    <w:rsid w:val="009327C3"/>
    <w:rsid w:val="00961FCC"/>
    <w:rsid w:val="00962783"/>
    <w:rsid w:val="00966A28"/>
    <w:rsid w:val="009826D5"/>
    <w:rsid w:val="00985EFD"/>
    <w:rsid w:val="00987BBB"/>
    <w:rsid w:val="009B3D92"/>
    <w:rsid w:val="009E1171"/>
    <w:rsid w:val="009E5A9E"/>
    <w:rsid w:val="009F10FD"/>
    <w:rsid w:val="009F737E"/>
    <w:rsid w:val="009F749D"/>
    <w:rsid w:val="00A05AC4"/>
    <w:rsid w:val="00A27C63"/>
    <w:rsid w:val="00A4258C"/>
    <w:rsid w:val="00A435C4"/>
    <w:rsid w:val="00A53A33"/>
    <w:rsid w:val="00A66E04"/>
    <w:rsid w:val="00AD45D0"/>
    <w:rsid w:val="00AE71D2"/>
    <w:rsid w:val="00B13566"/>
    <w:rsid w:val="00B144C6"/>
    <w:rsid w:val="00B15E07"/>
    <w:rsid w:val="00B178F9"/>
    <w:rsid w:val="00B34278"/>
    <w:rsid w:val="00B56E63"/>
    <w:rsid w:val="00B65253"/>
    <w:rsid w:val="00BA3B9E"/>
    <w:rsid w:val="00BC75D7"/>
    <w:rsid w:val="00C035A6"/>
    <w:rsid w:val="00C05F3D"/>
    <w:rsid w:val="00C17361"/>
    <w:rsid w:val="00C36AB9"/>
    <w:rsid w:val="00C36E85"/>
    <w:rsid w:val="00C43D26"/>
    <w:rsid w:val="00C666F8"/>
    <w:rsid w:val="00C77BE0"/>
    <w:rsid w:val="00C85CB1"/>
    <w:rsid w:val="00C87710"/>
    <w:rsid w:val="00C90B1A"/>
    <w:rsid w:val="00C90DBA"/>
    <w:rsid w:val="00CA327D"/>
    <w:rsid w:val="00CA39C9"/>
    <w:rsid w:val="00CC043E"/>
    <w:rsid w:val="00CC222B"/>
    <w:rsid w:val="00CD1228"/>
    <w:rsid w:val="00CD6292"/>
    <w:rsid w:val="00CF6D81"/>
    <w:rsid w:val="00D004DB"/>
    <w:rsid w:val="00D26790"/>
    <w:rsid w:val="00D2764C"/>
    <w:rsid w:val="00D31FB7"/>
    <w:rsid w:val="00D32786"/>
    <w:rsid w:val="00D35505"/>
    <w:rsid w:val="00D372FC"/>
    <w:rsid w:val="00D506CE"/>
    <w:rsid w:val="00D530D6"/>
    <w:rsid w:val="00D67D64"/>
    <w:rsid w:val="00D92AD8"/>
    <w:rsid w:val="00D94315"/>
    <w:rsid w:val="00DA0360"/>
    <w:rsid w:val="00DC5311"/>
    <w:rsid w:val="00DF501A"/>
    <w:rsid w:val="00E2077E"/>
    <w:rsid w:val="00E43E8F"/>
    <w:rsid w:val="00E45082"/>
    <w:rsid w:val="00E66265"/>
    <w:rsid w:val="00EC42F8"/>
    <w:rsid w:val="00ED2D32"/>
    <w:rsid w:val="00ED58C7"/>
    <w:rsid w:val="00EE18BF"/>
    <w:rsid w:val="00EF5776"/>
    <w:rsid w:val="00EF57C1"/>
    <w:rsid w:val="00F009A9"/>
    <w:rsid w:val="00F444DE"/>
    <w:rsid w:val="00F45934"/>
    <w:rsid w:val="00F74175"/>
    <w:rsid w:val="00F74486"/>
    <w:rsid w:val="00F9203E"/>
    <w:rsid w:val="00F963C4"/>
    <w:rsid w:val="00FA089D"/>
    <w:rsid w:val="00FB3356"/>
    <w:rsid w:val="00FC35F5"/>
    <w:rsid w:val="00FF658A"/>
    <w:rsid w:val="01686C1F"/>
    <w:rsid w:val="031D64DD"/>
    <w:rsid w:val="03464776"/>
    <w:rsid w:val="04822DEC"/>
    <w:rsid w:val="04A00CE1"/>
    <w:rsid w:val="04AEB069"/>
    <w:rsid w:val="053D4BAB"/>
    <w:rsid w:val="06C2FCA9"/>
    <w:rsid w:val="07D7ADA3"/>
    <w:rsid w:val="0B64E9AE"/>
    <w:rsid w:val="0C2C241A"/>
    <w:rsid w:val="0C2E108E"/>
    <w:rsid w:val="0C4B0D6C"/>
    <w:rsid w:val="0C7FC59A"/>
    <w:rsid w:val="10A92052"/>
    <w:rsid w:val="10B02BFF"/>
    <w:rsid w:val="10E61326"/>
    <w:rsid w:val="11B06FEA"/>
    <w:rsid w:val="11D93D8E"/>
    <w:rsid w:val="11E52818"/>
    <w:rsid w:val="125A5C71"/>
    <w:rsid w:val="12C3E585"/>
    <w:rsid w:val="12D03F57"/>
    <w:rsid w:val="146C0FB8"/>
    <w:rsid w:val="15263AAA"/>
    <w:rsid w:val="15A6BA66"/>
    <w:rsid w:val="1607E019"/>
    <w:rsid w:val="16E0E437"/>
    <w:rsid w:val="1789F8BE"/>
    <w:rsid w:val="17C9A77A"/>
    <w:rsid w:val="17F5BEF3"/>
    <w:rsid w:val="19C086E1"/>
    <w:rsid w:val="1B1A78CE"/>
    <w:rsid w:val="1CA74DF6"/>
    <w:rsid w:val="1CB9D47F"/>
    <w:rsid w:val="1E650077"/>
    <w:rsid w:val="1EA2D38B"/>
    <w:rsid w:val="1F1E95FF"/>
    <w:rsid w:val="1F98DA34"/>
    <w:rsid w:val="20291C2B"/>
    <w:rsid w:val="22252D56"/>
    <w:rsid w:val="246000F4"/>
    <w:rsid w:val="2575F675"/>
    <w:rsid w:val="26A1C2FF"/>
    <w:rsid w:val="26AB7A2A"/>
    <w:rsid w:val="280CEBC9"/>
    <w:rsid w:val="28946EDA"/>
    <w:rsid w:val="2E3DCD01"/>
    <w:rsid w:val="2F6FD634"/>
    <w:rsid w:val="3111BB2F"/>
    <w:rsid w:val="31366FCC"/>
    <w:rsid w:val="31A53876"/>
    <w:rsid w:val="33B43EA9"/>
    <w:rsid w:val="35042FEC"/>
    <w:rsid w:val="366B8B9E"/>
    <w:rsid w:val="38B2802A"/>
    <w:rsid w:val="38BA0098"/>
    <w:rsid w:val="38CE60A6"/>
    <w:rsid w:val="3A4E508B"/>
    <w:rsid w:val="3A98717E"/>
    <w:rsid w:val="41EB2CA7"/>
    <w:rsid w:val="42B58212"/>
    <w:rsid w:val="44C47AAF"/>
    <w:rsid w:val="4519EE5A"/>
    <w:rsid w:val="4603F7E9"/>
    <w:rsid w:val="46B292B4"/>
    <w:rsid w:val="471D6305"/>
    <w:rsid w:val="47F87C26"/>
    <w:rsid w:val="482B38A0"/>
    <w:rsid w:val="4910B519"/>
    <w:rsid w:val="4A4BF8FE"/>
    <w:rsid w:val="4A83C686"/>
    <w:rsid w:val="4B62D962"/>
    <w:rsid w:val="4D25003F"/>
    <w:rsid w:val="5146680B"/>
    <w:rsid w:val="51B3F1FE"/>
    <w:rsid w:val="538183C0"/>
    <w:rsid w:val="54434229"/>
    <w:rsid w:val="55CB8D46"/>
    <w:rsid w:val="59110AE4"/>
    <w:rsid w:val="59483774"/>
    <w:rsid w:val="597BEE0D"/>
    <w:rsid w:val="59E81A24"/>
    <w:rsid w:val="5A6CF3B5"/>
    <w:rsid w:val="5AE89403"/>
    <w:rsid w:val="5B2A7548"/>
    <w:rsid w:val="5DBC84B0"/>
    <w:rsid w:val="5E1EA969"/>
    <w:rsid w:val="5E58A983"/>
    <w:rsid w:val="600F7B7B"/>
    <w:rsid w:val="6028A3D8"/>
    <w:rsid w:val="6209D15A"/>
    <w:rsid w:val="6304E625"/>
    <w:rsid w:val="63471C3D"/>
    <w:rsid w:val="638BFC97"/>
    <w:rsid w:val="65BB1BC2"/>
    <w:rsid w:val="66E9F3D5"/>
    <w:rsid w:val="68E74A67"/>
    <w:rsid w:val="6909ECD2"/>
    <w:rsid w:val="6C23C1A9"/>
    <w:rsid w:val="6E3AC8F1"/>
    <w:rsid w:val="76791AAD"/>
    <w:rsid w:val="7778B9B6"/>
    <w:rsid w:val="7949206D"/>
    <w:rsid w:val="7A297B74"/>
    <w:rsid w:val="7AEBFC7B"/>
    <w:rsid w:val="7DBD9428"/>
    <w:rsid w:val="7EC1E525"/>
    <w:rsid w:val="7EDF77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0CEF"/>
  <w15:chartTrackingRefBased/>
  <w15:docId w15:val="{C20E5D5E-C5E5-4CAC-A75D-D0A49E2A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934"/>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934"/>
    <w:rPr>
      <w:color w:val="0563C1" w:themeColor="hyperlink"/>
      <w:u w:val="single"/>
    </w:rPr>
  </w:style>
  <w:style w:type="character" w:styleId="UnresolvedMention">
    <w:name w:val="Unresolved Mention"/>
    <w:basedOn w:val="DefaultParagraphFont"/>
    <w:uiPriority w:val="99"/>
    <w:semiHidden/>
    <w:unhideWhenUsed/>
    <w:rsid w:val="00F45934"/>
    <w:rPr>
      <w:color w:val="605E5C"/>
      <w:shd w:val="clear" w:color="auto" w:fill="E1DFDD"/>
    </w:rPr>
  </w:style>
  <w:style w:type="paragraph" w:styleId="ListParagraph">
    <w:name w:val="List Paragraph"/>
    <w:basedOn w:val="Normal"/>
    <w:link w:val="ListParagraphChar"/>
    <w:uiPriority w:val="34"/>
    <w:qFormat/>
    <w:rsid w:val="00835A90"/>
    <w:pPr>
      <w:ind w:left="720"/>
      <w:contextualSpacing/>
    </w:pPr>
    <w:rPr>
      <w:rFonts w:cs="Times New Roman"/>
      <w:szCs w:val="24"/>
    </w:rPr>
  </w:style>
  <w:style w:type="character" w:customStyle="1" w:styleId="ListParagraphChar">
    <w:name w:val="List Paragraph Char"/>
    <w:basedOn w:val="DefaultParagraphFont"/>
    <w:link w:val="ListParagraph"/>
    <w:uiPriority w:val="34"/>
    <w:locked/>
    <w:rsid w:val="00835A90"/>
  </w:style>
  <w:style w:type="character" w:styleId="FollowedHyperlink">
    <w:name w:val="FollowedHyperlink"/>
    <w:basedOn w:val="DefaultParagraphFont"/>
    <w:uiPriority w:val="99"/>
    <w:semiHidden/>
    <w:unhideWhenUsed/>
    <w:rsid w:val="00605C9F"/>
    <w:rPr>
      <w:color w:val="954F72" w:themeColor="followedHyperlink"/>
      <w:u w:val="single"/>
    </w:rPr>
  </w:style>
  <w:style w:type="paragraph" w:styleId="Revision">
    <w:name w:val="Revision"/>
    <w:hidden/>
    <w:uiPriority w:val="99"/>
    <w:semiHidden/>
    <w:rsid w:val="00C035A6"/>
    <w:rPr>
      <w:rFonts w:cstheme="minorBidi"/>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theme="minorBid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t.gov/publications/2020/jcx-23-20/" TargetMode="External"/><Relationship Id="rId13" Type="http://schemas.openxmlformats.org/officeDocument/2006/relationships/hyperlink" Target="https://www.cutoday.info/site/Fresh-Today/Nebraska-Banking-Department-Rejects-GreenState-s-Bid-To-Buy-Premier-B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giscan.com/MS/bill/HB1360/2022" TargetMode="External"/><Relationship Id="rId17" Type="http://schemas.openxmlformats.org/officeDocument/2006/relationships/hyperlink" Target="https://www.icba.org/docs/default-source/icba/advocacy-documents/letters-to-regulators/icba-letter-to-treasury-on-credit-union-acquisition-of-community-banks.pdf" TargetMode="External"/><Relationship Id="rId2" Type="http://schemas.openxmlformats.org/officeDocument/2006/relationships/customXml" Target="../customXml/item2.xml"/><Relationship Id="rId16" Type="http://schemas.openxmlformats.org/officeDocument/2006/relationships/hyperlink" Target="https://www.icba.org/docs/default-source/icba/advocacy-documents/letters-to-congress/letter-seeking-gao-study-of-credit-unions-and-ncu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ua.gov/files/publications/analysis/quarterly-data-summary-2022-Q2.pdf" TargetMode="External"/><Relationship Id="rId5" Type="http://schemas.openxmlformats.org/officeDocument/2006/relationships/styles" Target="styles.xml"/><Relationship Id="rId15" Type="http://schemas.openxmlformats.org/officeDocument/2006/relationships/hyperlink" Target="https://www.icba.org/docs/default-source/icba/advocacy-documents/letters-to-congress/icba-letter-to-request-senate-finance-hearing-on-credit-union-tax-exemption.pdf" TargetMode="External"/><Relationship Id="rId10" Type="http://schemas.openxmlformats.org/officeDocument/2006/relationships/hyperlink" Target="https://www.cutoday.info/site/THE-tude/The-Other-Financial-Well-Being-That-Really-Matter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chipfilson.com/2021/07/chapter-ii-bank-purchases-by-credit-unions-just-another-market-transaction/" TargetMode="External"/><Relationship Id="rId14" Type="http://schemas.openxmlformats.org/officeDocument/2006/relationships/hyperlink" Target="https://leg.colorado.gov/bills/hb22-1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F3F40B893A8438FDAFECBEBEF3679" ma:contentTypeVersion="18" ma:contentTypeDescription="Create a new document." ma:contentTypeScope="" ma:versionID="d186944e50c383c9f4053b9e7a5f8cee">
  <xsd:schema xmlns:xsd="http://www.w3.org/2001/XMLSchema" xmlns:xs="http://www.w3.org/2001/XMLSchema" xmlns:p="http://schemas.microsoft.com/office/2006/metadata/properties" xmlns:ns1="http://schemas.microsoft.com/sharepoint/v3" xmlns:ns2="f3052132-7631-4bf8-9303-fc804c90d88f" xmlns:ns3="0c2bd550-716e-42bf-a496-06b194d1b80a" targetNamespace="http://schemas.microsoft.com/office/2006/metadata/properties" ma:root="true" ma:fieldsID="3bd2f8c33ad12d2b9aca3bcc012ccc3f" ns1:_="" ns2:_="" ns3:_="">
    <xsd:import namespace="http://schemas.microsoft.com/sharepoint/v3"/>
    <xsd:import namespace="f3052132-7631-4bf8-9303-fc804c90d88f"/>
    <xsd:import namespace="0c2bd550-716e-42bf-a496-06b194d1b8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52132-7631-4bf8-9303-fc804c90d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00ea6a4-c0f9-4ccf-bf6c-dcf772f52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bd550-716e-42bf-a496-06b194d1b8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76d73c-8ac3-499e-b223-2876e61b994d}" ma:internalName="TaxCatchAll" ma:showField="CatchAllData" ma:web="0c2bd550-716e-42bf-a496-06b194d1b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3052132-7631-4bf8-9303-fc804c90d88f">
      <Terms xmlns="http://schemas.microsoft.com/office/infopath/2007/PartnerControls"/>
    </lcf76f155ced4ddcb4097134ff3c332f>
    <TaxCatchAll xmlns="0c2bd550-716e-42bf-a496-06b194d1b8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8C6EB1-594A-4229-B94A-728CB72F3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052132-7631-4bf8-9303-fc804c90d88f"/>
    <ds:schemaRef ds:uri="0c2bd550-716e-42bf-a496-06b194d1b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D09A6-07CF-479A-BC93-DE544E2DC120}">
  <ds:schemaRefs>
    <ds:schemaRef ds:uri="f3052132-7631-4bf8-9303-fc804c90d88f"/>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0c2bd550-716e-42bf-a496-06b194d1b80a"/>
    <ds:schemaRef ds:uri="http://schemas.microsoft.com/sharepoint/v3"/>
    <ds:schemaRef ds:uri="http://purl.org/dc/elements/1.1/"/>
  </ds:schemaRefs>
</ds:datastoreItem>
</file>

<file path=customXml/itemProps3.xml><?xml version="1.0" encoding="utf-8"?>
<ds:datastoreItem xmlns:ds="http://schemas.openxmlformats.org/officeDocument/2006/customXml" ds:itemID="{FD188AD9-62A4-4F79-8B85-05DCEED52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Warren</dc:creator>
  <cp:keywords/>
  <dc:description/>
  <cp:lastModifiedBy>Thomas Warren</cp:lastModifiedBy>
  <cp:revision>92</cp:revision>
  <dcterms:created xsi:type="dcterms:W3CDTF">2022-09-13T19:38:00Z</dcterms:created>
  <dcterms:modified xsi:type="dcterms:W3CDTF">2022-09-25T23:50:00Z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0x010100496F3F40B893A8438FDAFECBEBEF3679</vt:lpwstr>
  </property>
  <property fmtid="{D5CDD505-2E9C-101B-9397-08002B2CF9AE}" pid="3" name="MediaServiceImageTags">
    <vt:lpwstr/>
  </property>
  <property fmtid="{D5CDD505-2E9C-101B-9397-08002B2CF9AE}" pid="4" name="GrammarlyDocumentId">
    <vt:lpwstr>00a37418a3572653a538ad2f4dc267ae5321790febadf9d79ad72eb51c772547</vt:lpwstr>
  </property>
</Properties>
</file>